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46A7B" w14:textId="4147C49A" w:rsidR="0094394A" w:rsidRDefault="0094394A" w:rsidP="009A3398">
      <w:pPr>
        <w:pStyle w:val="CRCoverPage"/>
        <w:tabs>
          <w:tab w:val="right" w:pos="9639"/>
        </w:tabs>
        <w:spacing w:after="0"/>
        <w:rPr>
          <w:b/>
          <w:i/>
          <w:noProof/>
          <w:sz w:val="28"/>
        </w:rPr>
      </w:pPr>
      <w:r>
        <w:rPr>
          <w:b/>
          <w:noProof/>
          <w:sz w:val="24"/>
        </w:rPr>
        <w:t>3GPP TSG-SA5 Meeting #156</w:t>
      </w:r>
      <w:r>
        <w:rPr>
          <w:b/>
          <w:i/>
          <w:noProof/>
          <w:sz w:val="24"/>
        </w:rPr>
        <w:t xml:space="preserve"> </w:t>
      </w:r>
      <w:r>
        <w:rPr>
          <w:b/>
          <w:i/>
          <w:noProof/>
          <w:sz w:val="28"/>
        </w:rPr>
        <w:tab/>
        <w:t>S5-24</w:t>
      </w:r>
      <w:r w:rsidR="009B23F0">
        <w:rPr>
          <w:b/>
          <w:i/>
          <w:noProof/>
          <w:sz w:val="28"/>
        </w:rPr>
        <w:t>3612</w:t>
      </w:r>
    </w:p>
    <w:p w14:paraId="35F5C31B" w14:textId="77777777" w:rsidR="0094394A" w:rsidRPr="00E2035A" w:rsidRDefault="0094394A" w:rsidP="0094394A">
      <w:pPr>
        <w:pStyle w:val="Header"/>
        <w:rPr>
          <w:sz w:val="22"/>
          <w:szCs w:val="22"/>
        </w:rPr>
      </w:pPr>
      <w:r w:rsidRPr="00B66DFA">
        <w:rPr>
          <w:sz w:val="24"/>
        </w:rPr>
        <w:t>Maastricht</w:t>
      </w:r>
      <w:r>
        <w:rPr>
          <w:sz w:val="24"/>
        </w:rPr>
        <w:t>, NL, 19 – 23 August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14:paraId="12D88146" w14:textId="77777777">
        <w:tc>
          <w:tcPr>
            <w:tcW w:w="9641" w:type="dxa"/>
            <w:gridSpan w:val="9"/>
            <w:tcBorders>
              <w:top w:val="single" w:sz="4" w:space="0" w:color="auto"/>
              <w:left w:val="single" w:sz="4" w:space="0" w:color="auto"/>
              <w:right w:val="single" w:sz="4" w:space="0" w:color="auto"/>
            </w:tcBorders>
          </w:tcPr>
          <w:p w14:paraId="12D88145" w14:textId="77777777" w:rsidR="00A30704" w:rsidRDefault="004367C2">
            <w:pPr>
              <w:pStyle w:val="CRCoverPage"/>
              <w:spacing w:after="0"/>
              <w:jc w:val="right"/>
              <w:rPr>
                <w:i/>
              </w:rPr>
            </w:pPr>
            <w:r>
              <w:rPr>
                <w:i/>
                <w:sz w:val="14"/>
              </w:rPr>
              <w:t>CR-Form-v12.1</w:t>
            </w:r>
          </w:p>
        </w:tc>
      </w:tr>
      <w:tr w:rsidR="00A30704" w14:paraId="12D88148" w14:textId="77777777">
        <w:tc>
          <w:tcPr>
            <w:tcW w:w="9641" w:type="dxa"/>
            <w:gridSpan w:val="9"/>
            <w:tcBorders>
              <w:left w:val="single" w:sz="4" w:space="0" w:color="auto"/>
              <w:right w:val="single" w:sz="4" w:space="0" w:color="auto"/>
            </w:tcBorders>
          </w:tcPr>
          <w:p w14:paraId="12D88147" w14:textId="77777777" w:rsidR="00A30704" w:rsidRDefault="004367C2">
            <w:pPr>
              <w:pStyle w:val="CRCoverPage"/>
              <w:spacing w:after="0"/>
              <w:jc w:val="center"/>
            </w:pPr>
            <w:r>
              <w:rPr>
                <w:b/>
                <w:sz w:val="32"/>
              </w:rPr>
              <w:t>CHANGE REQUEST</w:t>
            </w:r>
          </w:p>
        </w:tc>
      </w:tr>
      <w:tr w:rsidR="00A30704" w14:paraId="12D8814A" w14:textId="77777777">
        <w:tc>
          <w:tcPr>
            <w:tcW w:w="9641" w:type="dxa"/>
            <w:gridSpan w:val="9"/>
            <w:tcBorders>
              <w:left w:val="single" w:sz="4" w:space="0" w:color="auto"/>
              <w:right w:val="single" w:sz="4" w:space="0" w:color="auto"/>
            </w:tcBorders>
          </w:tcPr>
          <w:p w14:paraId="12D88149" w14:textId="77777777" w:rsidR="00A30704" w:rsidRDefault="00A30704">
            <w:pPr>
              <w:pStyle w:val="CRCoverPage"/>
              <w:spacing w:after="0"/>
              <w:rPr>
                <w:sz w:val="8"/>
                <w:szCs w:val="8"/>
              </w:rPr>
            </w:pPr>
          </w:p>
        </w:tc>
      </w:tr>
      <w:tr w:rsidR="00A30704" w14:paraId="12D88154" w14:textId="77777777">
        <w:tc>
          <w:tcPr>
            <w:tcW w:w="142" w:type="dxa"/>
            <w:tcBorders>
              <w:left w:val="single" w:sz="4" w:space="0" w:color="auto"/>
            </w:tcBorders>
          </w:tcPr>
          <w:p w14:paraId="12D8814B" w14:textId="77777777" w:rsidR="00A30704" w:rsidRDefault="00A30704">
            <w:pPr>
              <w:pStyle w:val="CRCoverPage"/>
              <w:spacing w:after="0"/>
              <w:jc w:val="right"/>
            </w:pPr>
          </w:p>
        </w:tc>
        <w:tc>
          <w:tcPr>
            <w:tcW w:w="1559" w:type="dxa"/>
            <w:shd w:val="pct30" w:color="FFFF00" w:fill="auto"/>
          </w:tcPr>
          <w:p w14:paraId="12D8814C" w14:textId="2EDE458F" w:rsidR="00A30704" w:rsidRDefault="00A678CD">
            <w:pPr>
              <w:pStyle w:val="CRCoverPage"/>
              <w:spacing w:after="0"/>
              <w:jc w:val="right"/>
              <w:rPr>
                <w:b/>
                <w:sz w:val="28"/>
              </w:rPr>
            </w:pPr>
            <w:fldSimple w:instr=" DOCPROPERTY  Spec#  \* MERGEFORMAT ">
              <w:r w:rsidR="004D2C4C">
                <w:rPr>
                  <w:rFonts w:eastAsia="SimSun"/>
                  <w:b/>
                  <w:sz w:val="28"/>
                  <w:lang w:val="en-US" w:eastAsia="zh-CN"/>
                </w:rPr>
                <w:t>32</w:t>
              </w:r>
              <w:r w:rsidR="004367C2">
                <w:rPr>
                  <w:rFonts w:eastAsia="SimSun" w:hint="eastAsia"/>
                  <w:b/>
                  <w:sz w:val="28"/>
                  <w:lang w:val="en-US" w:eastAsia="zh-CN"/>
                </w:rPr>
                <w:t>.</w:t>
              </w:r>
              <w:r w:rsidR="004D2C4C">
                <w:rPr>
                  <w:rFonts w:eastAsia="SimSun"/>
                  <w:b/>
                  <w:sz w:val="28"/>
                  <w:lang w:val="en-US" w:eastAsia="zh-CN"/>
                </w:rPr>
                <w:t>404</w:t>
              </w:r>
            </w:fldSimple>
          </w:p>
        </w:tc>
        <w:tc>
          <w:tcPr>
            <w:tcW w:w="709" w:type="dxa"/>
          </w:tcPr>
          <w:p w14:paraId="12D8814D" w14:textId="77777777" w:rsidR="00A30704" w:rsidRDefault="004367C2">
            <w:pPr>
              <w:pStyle w:val="CRCoverPage"/>
              <w:spacing w:after="0"/>
              <w:jc w:val="center"/>
            </w:pPr>
            <w:r>
              <w:rPr>
                <w:b/>
                <w:sz w:val="28"/>
              </w:rPr>
              <w:t>CR</w:t>
            </w:r>
          </w:p>
        </w:tc>
        <w:tc>
          <w:tcPr>
            <w:tcW w:w="1276" w:type="dxa"/>
            <w:shd w:val="pct30" w:color="FFFF00" w:fill="auto"/>
          </w:tcPr>
          <w:p w14:paraId="12D8814E" w14:textId="193C55AF" w:rsidR="00A30704" w:rsidRDefault="00A678CD">
            <w:pPr>
              <w:pStyle w:val="CRCoverPage"/>
              <w:spacing w:after="0"/>
            </w:pPr>
            <w:r>
              <w:fldChar w:fldCharType="begin"/>
            </w:r>
            <w:r>
              <w:instrText xml:space="preserve"> DOCPROPERTY  Cr#  \* MERGEFORMAT </w:instrText>
            </w:r>
            <w:r>
              <w:fldChar w:fldCharType="separate"/>
            </w:r>
            <w:r w:rsidR="004805AC">
              <w:rPr>
                <w:rFonts w:eastAsiaTheme="minorEastAsia" w:hint="eastAsia"/>
                <w:b/>
                <w:sz w:val="28"/>
                <w:lang w:eastAsia="zh-CN"/>
              </w:rPr>
              <w:t>0</w:t>
            </w:r>
            <w:r w:rsidR="001F166D">
              <w:rPr>
                <w:rFonts w:eastAsiaTheme="minorEastAsia"/>
                <w:b/>
                <w:sz w:val="28"/>
                <w:lang w:eastAsia="zh-CN"/>
              </w:rPr>
              <w:t>018</w:t>
            </w:r>
            <w:r>
              <w:rPr>
                <w:rFonts w:eastAsiaTheme="minorEastAsia"/>
                <w:b/>
                <w:sz w:val="28"/>
                <w:lang w:eastAsia="zh-CN"/>
              </w:rPr>
              <w:fldChar w:fldCharType="end"/>
            </w:r>
          </w:p>
        </w:tc>
        <w:tc>
          <w:tcPr>
            <w:tcW w:w="709" w:type="dxa"/>
          </w:tcPr>
          <w:p w14:paraId="12D8814F" w14:textId="77777777" w:rsidR="00A30704" w:rsidRDefault="004367C2">
            <w:pPr>
              <w:pStyle w:val="CRCoverPage"/>
              <w:tabs>
                <w:tab w:val="right" w:pos="625"/>
              </w:tabs>
              <w:spacing w:after="0"/>
              <w:jc w:val="center"/>
            </w:pPr>
            <w:r>
              <w:rPr>
                <w:b/>
                <w:bCs/>
                <w:sz w:val="28"/>
              </w:rPr>
              <w:t>rev</w:t>
            </w:r>
          </w:p>
        </w:tc>
        <w:tc>
          <w:tcPr>
            <w:tcW w:w="992" w:type="dxa"/>
            <w:shd w:val="pct30" w:color="FFFF00" w:fill="auto"/>
          </w:tcPr>
          <w:p w14:paraId="12D88150" w14:textId="6A057145" w:rsidR="00A30704" w:rsidRDefault="00A678CD">
            <w:pPr>
              <w:pStyle w:val="CRCoverPage"/>
              <w:spacing w:after="0"/>
              <w:jc w:val="center"/>
              <w:rPr>
                <w:b/>
              </w:rPr>
            </w:pPr>
            <w:fldSimple w:instr=" DOCPROPERTY  Revision  \* MERGEFORMAT ">
              <w:r w:rsidR="0035508C">
                <w:rPr>
                  <w:rFonts w:eastAsiaTheme="minorEastAsia" w:hint="eastAsia"/>
                  <w:b/>
                  <w:sz w:val="28"/>
                  <w:lang w:eastAsia="zh-CN"/>
                </w:rPr>
                <w:t>-</w:t>
              </w:r>
            </w:fldSimple>
          </w:p>
        </w:tc>
        <w:tc>
          <w:tcPr>
            <w:tcW w:w="2410" w:type="dxa"/>
          </w:tcPr>
          <w:p w14:paraId="12D88151" w14:textId="77777777" w:rsidR="00A30704" w:rsidRDefault="004367C2">
            <w:pPr>
              <w:pStyle w:val="CRCoverPage"/>
              <w:tabs>
                <w:tab w:val="right" w:pos="1825"/>
              </w:tabs>
              <w:spacing w:after="0"/>
              <w:jc w:val="center"/>
            </w:pPr>
            <w:r>
              <w:rPr>
                <w:b/>
                <w:sz w:val="28"/>
                <w:szCs w:val="28"/>
              </w:rPr>
              <w:t>Current version:</w:t>
            </w:r>
          </w:p>
        </w:tc>
        <w:tc>
          <w:tcPr>
            <w:tcW w:w="1701" w:type="dxa"/>
            <w:shd w:val="pct30" w:color="FFFF00" w:fill="auto"/>
          </w:tcPr>
          <w:p w14:paraId="12D88152" w14:textId="22323FB7" w:rsidR="00A30704" w:rsidRDefault="00A678CD">
            <w:pPr>
              <w:pStyle w:val="CRCoverPage"/>
              <w:spacing w:after="0"/>
              <w:jc w:val="center"/>
              <w:rPr>
                <w:sz w:val="28"/>
              </w:rPr>
            </w:pPr>
            <w:fldSimple w:instr=" DOCPROPERTY  Version  \* MERGEFORMAT ">
              <w:r w:rsidR="004367C2">
                <w:rPr>
                  <w:rFonts w:eastAsia="SimSun" w:hint="eastAsia"/>
                  <w:b/>
                  <w:sz w:val="28"/>
                  <w:lang w:val="en-US" w:eastAsia="zh-CN"/>
                </w:rPr>
                <w:t>1</w:t>
              </w:r>
              <w:r w:rsidR="00AE6161">
                <w:rPr>
                  <w:rFonts w:eastAsia="SimSun"/>
                  <w:b/>
                  <w:sz w:val="28"/>
                  <w:lang w:val="en-US" w:eastAsia="zh-CN"/>
                </w:rPr>
                <w:t>6</w:t>
              </w:r>
              <w:r w:rsidR="004367C2">
                <w:rPr>
                  <w:rFonts w:eastAsia="SimSun" w:hint="eastAsia"/>
                  <w:b/>
                  <w:sz w:val="28"/>
                  <w:lang w:val="en-US" w:eastAsia="zh-CN"/>
                </w:rPr>
                <w:t>.</w:t>
              </w:r>
              <w:r w:rsidR="004D2C4C">
                <w:rPr>
                  <w:rFonts w:eastAsia="SimSun"/>
                  <w:b/>
                  <w:sz w:val="28"/>
                  <w:lang w:val="en-US" w:eastAsia="zh-CN"/>
                </w:rPr>
                <w:t>0</w:t>
              </w:r>
              <w:r w:rsidR="004367C2">
                <w:rPr>
                  <w:rFonts w:eastAsia="SimSun" w:hint="eastAsia"/>
                  <w:b/>
                  <w:sz w:val="28"/>
                  <w:lang w:val="en-US" w:eastAsia="zh-CN"/>
                </w:rPr>
                <w:t>.0</w:t>
              </w:r>
            </w:fldSimple>
          </w:p>
        </w:tc>
        <w:tc>
          <w:tcPr>
            <w:tcW w:w="143" w:type="dxa"/>
            <w:tcBorders>
              <w:right w:val="single" w:sz="4" w:space="0" w:color="auto"/>
            </w:tcBorders>
          </w:tcPr>
          <w:p w14:paraId="12D88153" w14:textId="77777777" w:rsidR="00A30704" w:rsidRDefault="00A30704">
            <w:pPr>
              <w:pStyle w:val="CRCoverPage"/>
              <w:spacing w:after="0"/>
            </w:pPr>
          </w:p>
        </w:tc>
      </w:tr>
      <w:tr w:rsidR="00A30704" w14:paraId="12D88156" w14:textId="77777777">
        <w:tc>
          <w:tcPr>
            <w:tcW w:w="9641" w:type="dxa"/>
            <w:gridSpan w:val="9"/>
            <w:tcBorders>
              <w:left w:val="single" w:sz="4" w:space="0" w:color="auto"/>
              <w:right w:val="single" w:sz="4" w:space="0" w:color="auto"/>
            </w:tcBorders>
          </w:tcPr>
          <w:p w14:paraId="12D88155" w14:textId="77777777" w:rsidR="00A30704" w:rsidRDefault="00A30704">
            <w:pPr>
              <w:pStyle w:val="CRCoverPage"/>
              <w:spacing w:after="0"/>
            </w:pPr>
          </w:p>
        </w:tc>
      </w:tr>
      <w:tr w:rsidR="00A30704" w14:paraId="12D88158" w14:textId="77777777">
        <w:tc>
          <w:tcPr>
            <w:tcW w:w="9641" w:type="dxa"/>
            <w:gridSpan w:val="9"/>
            <w:tcBorders>
              <w:top w:val="single" w:sz="4" w:space="0" w:color="auto"/>
            </w:tcBorders>
          </w:tcPr>
          <w:p w14:paraId="12D88157" w14:textId="77777777" w:rsidR="00A30704" w:rsidRDefault="004367C2">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A30704" w14:paraId="12D8815A" w14:textId="77777777">
        <w:tc>
          <w:tcPr>
            <w:tcW w:w="9641" w:type="dxa"/>
            <w:gridSpan w:val="9"/>
          </w:tcPr>
          <w:p w14:paraId="12D88159" w14:textId="77777777" w:rsidR="00A30704" w:rsidRDefault="00A30704">
            <w:pPr>
              <w:pStyle w:val="CRCoverPage"/>
              <w:spacing w:after="0"/>
              <w:rPr>
                <w:sz w:val="8"/>
                <w:szCs w:val="8"/>
              </w:rPr>
            </w:pPr>
          </w:p>
        </w:tc>
      </w:tr>
    </w:tbl>
    <w:p w14:paraId="12D8815B" w14:textId="77777777" w:rsidR="00A30704"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14:paraId="12D88165" w14:textId="77777777">
        <w:tc>
          <w:tcPr>
            <w:tcW w:w="2835" w:type="dxa"/>
          </w:tcPr>
          <w:p w14:paraId="12D8815C" w14:textId="77777777" w:rsidR="00A30704" w:rsidRDefault="004367C2">
            <w:pPr>
              <w:pStyle w:val="CRCoverPage"/>
              <w:tabs>
                <w:tab w:val="right" w:pos="2751"/>
              </w:tabs>
              <w:spacing w:after="0"/>
              <w:rPr>
                <w:b/>
                <w:i/>
              </w:rPr>
            </w:pPr>
            <w:r>
              <w:rPr>
                <w:b/>
                <w:i/>
              </w:rPr>
              <w:t>Proposed change affects:</w:t>
            </w:r>
          </w:p>
        </w:tc>
        <w:tc>
          <w:tcPr>
            <w:tcW w:w="1418" w:type="dxa"/>
          </w:tcPr>
          <w:p w14:paraId="12D8815D" w14:textId="77777777" w:rsidR="00A30704" w:rsidRDefault="004367C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Default="00A30704">
            <w:pPr>
              <w:pStyle w:val="CRCoverPage"/>
              <w:spacing w:after="0"/>
              <w:jc w:val="center"/>
              <w:rPr>
                <w:b/>
                <w:caps/>
              </w:rPr>
            </w:pPr>
          </w:p>
        </w:tc>
        <w:tc>
          <w:tcPr>
            <w:tcW w:w="709" w:type="dxa"/>
            <w:tcBorders>
              <w:left w:val="single" w:sz="4" w:space="0" w:color="auto"/>
            </w:tcBorders>
          </w:tcPr>
          <w:p w14:paraId="12D8815F" w14:textId="77777777" w:rsidR="00A30704" w:rsidRDefault="004367C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Default="00A30704">
            <w:pPr>
              <w:pStyle w:val="CRCoverPage"/>
              <w:spacing w:after="0"/>
              <w:jc w:val="center"/>
              <w:rPr>
                <w:b/>
                <w:caps/>
              </w:rPr>
            </w:pPr>
          </w:p>
        </w:tc>
        <w:tc>
          <w:tcPr>
            <w:tcW w:w="2126" w:type="dxa"/>
          </w:tcPr>
          <w:p w14:paraId="12D88161" w14:textId="77777777" w:rsidR="00A30704" w:rsidRDefault="004367C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35508C" w:rsidRDefault="0035508C">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12D88163" w14:textId="77777777" w:rsidR="00A30704" w:rsidRDefault="004367C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62EE736B" w:rsidR="00A30704" w:rsidRDefault="00BB2E5B">
            <w:pPr>
              <w:pStyle w:val="CRCoverPage"/>
              <w:spacing w:after="0"/>
              <w:jc w:val="center"/>
              <w:rPr>
                <w:b/>
                <w:bCs/>
                <w:caps/>
              </w:rPr>
            </w:pPr>
            <w:r>
              <w:rPr>
                <w:b/>
                <w:bCs/>
                <w:caps/>
              </w:rPr>
              <w:t>X</w:t>
            </w:r>
          </w:p>
        </w:tc>
      </w:tr>
    </w:tbl>
    <w:p w14:paraId="12D88166" w14:textId="77777777" w:rsidR="00A30704"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14:paraId="12D88168" w14:textId="77777777">
        <w:tc>
          <w:tcPr>
            <w:tcW w:w="9640" w:type="dxa"/>
            <w:gridSpan w:val="11"/>
          </w:tcPr>
          <w:p w14:paraId="12D88167" w14:textId="77777777" w:rsidR="00A30704" w:rsidRDefault="00A30704">
            <w:pPr>
              <w:pStyle w:val="CRCoverPage"/>
              <w:spacing w:after="0"/>
              <w:rPr>
                <w:sz w:val="8"/>
                <w:szCs w:val="8"/>
              </w:rPr>
            </w:pPr>
          </w:p>
        </w:tc>
      </w:tr>
      <w:tr w:rsidR="00A30704" w14:paraId="12D8816B" w14:textId="77777777">
        <w:tc>
          <w:tcPr>
            <w:tcW w:w="1843" w:type="dxa"/>
            <w:tcBorders>
              <w:top w:val="single" w:sz="4" w:space="0" w:color="auto"/>
              <w:left w:val="single" w:sz="4" w:space="0" w:color="auto"/>
            </w:tcBorders>
          </w:tcPr>
          <w:p w14:paraId="12D88169" w14:textId="77777777" w:rsidR="00A30704" w:rsidRDefault="004367C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2D8816A" w14:textId="0FECE31F" w:rsidR="00A30704" w:rsidRDefault="004367C2">
            <w:pPr>
              <w:pStyle w:val="CRCoverPage"/>
              <w:spacing w:after="0"/>
              <w:ind w:left="100"/>
              <w:rPr>
                <w:rFonts w:eastAsia="SimSun"/>
                <w:lang w:val="en-US" w:eastAsia="zh-CN"/>
              </w:rPr>
            </w:pPr>
            <w:bookmarkStart w:id="1" w:name="OLE_LINK1"/>
            <w:r>
              <w:t>Rel-1</w:t>
            </w:r>
            <w:r w:rsidR="00AE6161">
              <w:t>6</w:t>
            </w:r>
            <w:r>
              <w:rPr>
                <w:rFonts w:eastAsia="SimSun" w:hint="eastAsia"/>
                <w:lang w:val="en-US" w:eastAsia="zh-CN"/>
              </w:rPr>
              <w:t xml:space="preserve"> CR</w:t>
            </w:r>
            <w:r>
              <w:t xml:space="preserve"> TS </w:t>
            </w:r>
            <w:r w:rsidR="004D2C4C">
              <w:t>32</w:t>
            </w:r>
            <w:r>
              <w:t>.</w:t>
            </w:r>
            <w:r w:rsidR="004D2C4C">
              <w:t>404</w:t>
            </w:r>
            <w:r>
              <w:t xml:space="preserve"> </w:t>
            </w:r>
            <w:bookmarkEnd w:id="1"/>
            <w:r w:rsidR="002B0EF4">
              <w:t xml:space="preserve">Correction on </w:t>
            </w:r>
            <w:r w:rsidR="00636559" w:rsidRPr="00636559">
              <w:rPr>
                <w:rFonts w:eastAsia="SimSun"/>
                <w:lang w:val="en-US" w:eastAsia="zh-CN"/>
              </w:rPr>
              <w:t>vendor-specific measurement names</w:t>
            </w:r>
          </w:p>
        </w:tc>
      </w:tr>
      <w:tr w:rsidR="00A30704" w14:paraId="12D8816E" w14:textId="77777777">
        <w:tc>
          <w:tcPr>
            <w:tcW w:w="1843" w:type="dxa"/>
            <w:tcBorders>
              <w:left w:val="single" w:sz="4" w:space="0" w:color="auto"/>
            </w:tcBorders>
          </w:tcPr>
          <w:p w14:paraId="12D8816C" w14:textId="77777777" w:rsidR="00A30704" w:rsidRDefault="00A30704">
            <w:pPr>
              <w:pStyle w:val="CRCoverPage"/>
              <w:spacing w:after="0"/>
              <w:rPr>
                <w:b/>
                <w:i/>
                <w:sz w:val="8"/>
                <w:szCs w:val="8"/>
              </w:rPr>
            </w:pPr>
          </w:p>
        </w:tc>
        <w:tc>
          <w:tcPr>
            <w:tcW w:w="7797" w:type="dxa"/>
            <w:gridSpan w:val="10"/>
            <w:tcBorders>
              <w:right w:val="single" w:sz="4" w:space="0" w:color="auto"/>
            </w:tcBorders>
          </w:tcPr>
          <w:p w14:paraId="12D8816D" w14:textId="77777777" w:rsidR="00A30704" w:rsidRDefault="00A30704">
            <w:pPr>
              <w:pStyle w:val="CRCoverPage"/>
              <w:spacing w:after="0"/>
              <w:rPr>
                <w:sz w:val="8"/>
                <w:szCs w:val="8"/>
              </w:rPr>
            </w:pPr>
          </w:p>
        </w:tc>
      </w:tr>
      <w:tr w:rsidR="00A30704" w14:paraId="12D88171" w14:textId="77777777">
        <w:tc>
          <w:tcPr>
            <w:tcW w:w="1843" w:type="dxa"/>
            <w:tcBorders>
              <w:left w:val="single" w:sz="4" w:space="0" w:color="auto"/>
            </w:tcBorders>
          </w:tcPr>
          <w:p w14:paraId="12D8816F" w14:textId="77777777" w:rsidR="00A30704" w:rsidRDefault="004367C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2D88170" w14:textId="38BEC630" w:rsidR="00A30704" w:rsidRDefault="0094394A">
            <w:pPr>
              <w:pStyle w:val="CRCoverPage"/>
              <w:spacing w:after="0"/>
              <w:ind w:left="100"/>
            </w:pPr>
            <w:r>
              <w:rPr>
                <w:lang w:eastAsia="zh-CN"/>
              </w:rPr>
              <w:t>Ericsson</w:t>
            </w:r>
          </w:p>
        </w:tc>
      </w:tr>
      <w:tr w:rsidR="00A30704" w14:paraId="12D88174" w14:textId="77777777">
        <w:tc>
          <w:tcPr>
            <w:tcW w:w="1843" w:type="dxa"/>
            <w:tcBorders>
              <w:left w:val="single" w:sz="4" w:space="0" w:color="auto"/>
            </w:tcBorders>
          </w:tcPr>
          <w:p w14:paraId="12D88172" w14:textId="77777777" w:rsidR="00A30704" w:rsidRDefault="004367C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2D88173" w14:textId="77777777" w:rsidR="00A30704" w:rsidRDefault="004367C2">
            <w:pPr>
              <w:pStyle w:val="CRCoverPage"/>
              <w:spacing w:after="0"/>
              <w:ind w:left="100"/>
            </w:pPr>
            <w:r>
              <w:t>S5</w:t>
            </w:r>
          </w:p>
        </w:tc>
      </w:tr>
      <w:tr w:rsidR="00A30704" w14:paraId="12D88177" w14:textId="77777777">
        <w:tc>
          <w:tcPr>
            <w:tcW w:w="1843" w:type="dxa"/>
            <w:tcBorders>
              <w:left w:val="single" w:sz="4" w:space="0" w:color="auto"/>
            </w:tcBorders>
          </w:tcPr>
          <w:p w14:paraId="12D88175" w14:textId="77777777" w:rsidR="00A30704" w:rsidRDefault="00A30704">
            <w:pPr>
              <w:pStyle w:val="CRCoverPage"/>
              <w:spacing w:after="0"/>
              <w:rPr>
                <w:b/>
                <w:i/>
                <w:sz w:val="8"/>
                <w:szCs w:val="8"/>
              </w:rPr>
            </w:pPr>
          </w:p>
        </w:tc>
        <w:tc>
          <w:tcPr>
            <w:tcW w:w="7797" w:type="dxa"/>
            <w:gridSpan w:val="10"/>
            <w:tcBorders>
              <w:right w:val="single" w:sz="4" w:space="0" w:color="auto"/>
            </w:tcBorders>
          </w:tcPr>
          <w:p w14:paraId="12D88176" w14:textId="77777777" w:rsidR="00A30704" w:rsidRDefault="00A30704">
            <w:pPr>
              <w:pStyle w:val="CRCoverPage"/>
              <w:spacing w:after="0"/>
              <w:rPr>
                <w:sz w:val="8"/>
                <w:szCs w:val="8"/>
              </w:rPr>
            </w:pPr>
          </w:p>
        </w:tc>
      </w:tr>
      <w:tr w:rsidR="00A30704" w14:paraId="12D8817D" w14:textId="77777777">
        <w:tc>
          <w:tcPr>
            <w:tcW w:w="1843" w:type="dxa"/>
            <w:tcBorders>
              <w:left w:val="single" w:sz="4" w:space="0" w:color="auto"/>
            </w:tcBorders>
          </w:tcPr>
          <w:p w14:paraId="12D88178" w14:textId="77777777" w:rsidR="00A30704" w:rsidRDefault="004367C2">
            <w:pPr>
              <w:pStyle w:val="CRCoverPage"/>
              <w:tabs>
                <w:tab w:val="right" w:pos="1759"/>
              </w:tabs>
              <w:spacing w:after="0"/>
              <w:rPr>
                <w:b/>
                <w:i/>
              </w:rPr>
            </w:pPr>
            <w:r>
              <w:rPr>
                <w:b/>
                <w:i/>
              </w:rPr>
              <w:t>Work item code:</w:t>
            </w:r>
          </w:p>
        </w:tc>
        <w:tc>
          <w:tcPr>
            <w:tcW w:w="3686" w:type="dxa"/>
            <w:gridSpan w:val="5"/>
            <w:shd w:val="pct30" w:color="FFFF00" w:fill="auto"/>
          </w:tcPr>
          <w:p w14:paraId="12D88179" w14:textId="72A879D3" w:rsidR="00A30704" w:rsidRDefault="002421C1">
            <w:pPr>
              <w:pStyle w:val="CRCoverPage"/>
              <w:spacing w:after="0"/>
              <w:ind w:left="100"/>
              <w:rPr>
                <w:rFonts w:eastAsia="SimSun"/>
                <w:lang w:val="en-US" w:eastAsia="zh-CN"/>
              </w:rPr>
            </w:pPr>
            <w:r>
              <w:t>TEI1</w:t>
            </w:r>
            <w:r w:rsidR="00990B04">
              <w:t>5</w:t>
            </w:r>
          </w:p>
        </w:tc>
        <w:tc>
          <w:tcPr>
            <w:tcW w:w="567" w:type="dxa"/>
            <w:tcBorders>
              <w:left w:val="nil"/>
            </w:tcBorders>
          </w:tcPr>
          <w:p w14:paraId="12D8817A" w14:textId="77777777" w:rsidR="00A30704" w:rsidRDefault="00A30704">
            <w:pPr>
              <w:pStyle w:val="CRCoverPage"/>
              <w:spacing w:after="0"/>
              <w:ind w:right="100"/>
            </w:pPr>
          </w:p>
        </w:tc>
        <w:tc>
          <w:tcPr>
            <w:tcW w:w="1417" w:type="dxa"/>
            <w:gridSpan w:val="3"/>
            <w:tcBorders>
              <w:left w:val="nil"/>
            </w:tcBorders>
          </w:tcPr>
          <w:p w14:paraId="12D8817B" w14:textId="77777777" w:rsidR="00A30704" w:rsidRDefault="004367C2">
            <w:pPr>
              <w:pStyle w:val="CRCoverPage"/>
              <w:spacing w:after="0"/>
              <w:jc w:val="right"/>
            </w:pPr>
            <w:r>
              <w:rPr>
                <w:b/>
                <w:i/>
              </w:rPr>
              <w:t>Date:</w:t>
            </w:r>
          </w:p>
        </w:tc>
        <w:tc>
          <w:tcPr>
            <w:tcW w:w="2127" w:type="dxa"/>
            <w:tcBorders>
              <w:right w:val="single" w:sz="4" w:space="0" w:color="auto"/>
            </w:tcBorders>
            <w:shd w:val="pct30" w:color="FFFF00" w:fill="auto"/>
          </w:tcPr>
          <w:p w14:paraId="12D8817C" w14:textId="135C6CA5" w:rsidR="00A30704" w:rsidRDefault="004367C2">
            <w:pPr>
              <w:pStyle w:val="CRCoverPage"/>
              <w:spacing w:after="0"/>
              <w:ind w:left="100"/>
              <w:rPr>
                <w:rFonts w:eastAsia="SimSun"/>
                <w:lang w:val="en-US" w:eastAsia="zh-CN"/>
              </w:rPr>
            </w:pPr>
            <w:r>
              <w:t>2024-</w:t>
            </w:r>
            <w:r>
              <w:rPr>
                <w:rFonts w:eastAsia="SimSun" w:hint="eastAsia"/>
                <w:lang w:val="en-US" w:eastAsia="zh-CN"/>
              </w:rPr>
              <w:t>0</w:t>
            </w:r>
            <w:r w:rsidR="0094394A">
              <w:rPr>
                <w:rFonts w:eastAsia="SimSun"/>
                <w:lang w:val="en-US" w:eastAsia="zh-CN"/>
              </w:rPr>
              <w:t>8</w:t>
            </w:r>
            <w:r>
              <w:t>-</w:t>
            </w:r>
            <w:r w:rsidR="0094394A">
              <w:rPr>
                <w:rFonts w:eastAsia="SimSun"/>
                <w:lang w:val="en-US" w:eastAsia="zh-CN"/>
              </w:rPr>
              <w:t>0</w:t>
            </w:r>
            <w:r>
              <w:rPr>
                <w:rFonts w:eastAsia="SimSun" w:hint="eastAsia"/>
                <w:lang w:val="en-US" w:eastAsia="zh-CN"/>
              </w:rPr>
              <w:t>5</w:t>
            </w:r>
          </w:p>
        </w:tc>
      </w:tr>
      <w:tr w:rsidR="00A30704" w14:paraId="12D88183" w14:textId="77777777">
        <w:tc>
          <w:tcPr>
            <w:tcW w:w="1843" w:type="dxa"/>
            <w:tcBorders>
              <w:left w:val="single" w:sz="4" w:space="0" w:color="auto"/>
            </w:tcBorders>
          </w:tcPr>
          <w:p w14:paraId="12D8817E" w14:textId="77777777" w:rsidR="00A30704" w:rsidRDefault="00A30704">
            <w:pPr>
              <w:pStyle w:val="CRCoverPage"/>
              <w:spacing w:after="0"/>
              <w:rPr>
                <w:b/>
                <w:i/>
                <w:sz w:val="8"/>
                <w:szCs w:val="8"/>
              </w:rPr>
            </w:pPr>
          </w:p>
        </w:tc>
        <w:tc>
          <w:tcPr>
            <w:tcW w:w="1986" w:type="dxa"/>
            <w:gridSpan w:val="4"/>
          </w:tcPr>
          <w:p w14:paraId="12D8817F" w14:textId="77777777" w:rsidR="00A30704" w:rsidRDefault="00A30704">
            <w:pPr>
              <w:pStyle w:val="CRCoverPage"/>
              <w:spacing w:after="0"/>
              <w:rPr>
                <w:sz w:val="8"/>
                <w:szCs w:val="8"/>
              </w:rPr>
            </w:pPr>
          </w:p>
        </w:tc>
        <w:tc>
          <w:tcPr>
            <w:tcW w:w="2267" w:type="dxa"/>
            <w:gridSpan w:val="2"/>
          </w:tcPr>
          <w:p w14:paraId="12D88180" w14:textId="77777777" w:rsidR="00A30704" w:rsidRDefault="00A30704">
            <w:pPr>
              <w:pStyle w:val="CRCoverPage"/>
              <w:spacing w:after="0"/>
              <w:rPr>
                <w:sz w:val="8"/>
                <w:szCs w:val="8"/>
              </w:rPr>
            </w:pPr>
          </w:p>
        </w:tc>
        <w:tc>
          <w:tcPr>
            <w:tcW w:w="1417" w:type="dxa"/>
            <w:gridSpan w:val="3"/>
          </w:tcPr>
          <w:p w14:paraId="12D88181" w14:textId="77777777" w:rsidR="00A30704" w:rsidRDefault="00A30704">
            <w:pPr>
              <w:pStyle w:val="CRCoverPage"/>
              <w:spacing w:after="0"/>
              <w:rPr>
                <w:sz w:val="8"/>
                <w:szCs w:val="8"/>
              </w:rPr>
            </w:pPr>
          </w:p>
        </w:tc>
        <w:tc>
          <w:tcPr>
            <w:tcW w:w="2127" w:type="dxa"/>
            <w:tcBorders>
              <w:right w:val="single" w:sz="4" w:space="0" w:color="auto"/>
            </w:tcBorders>
          </w:tcPr>
          <w:p w14:paraId="12D88182" w14:textId="77777777" w:rsidR="00A30704" w:rsidRDefault="00A30704">
            <w:pPr>
              <w:pStyle w:val="CRCoverPage"/>
              <w:spacing w:after="0"/>
              <w:rPr>
                <w:sz w:val="8"/>
                <w:szCs w:val="8"/>
              </w:rPr>
            </w:pPr>
          </w:p>
        </w:tc>
      </w:tr>
      <w:tr w:rsidR="00A30704" w14:paraId="12D88189" w14:textId="77777777">
        <w:trPr>
          <w:cantSplit/>
        </w:trPr>
        <w:tc>
          <w:tcPr>
            <w:tcW w:w="1843" w:type="dxa"/>
            <w:tcBorders>
              <w:left w:val="single" w:sz="4" w:space="0" w:color="auto"/>
            </w:tcBorders>
          </w:tcPr>
          <w:p w14:paraId="12D88184" w14:textId="77777777" w:rsidR="00A30704" w:rsidRDefault="004367C2">
            <w:pPr>
              <w:pStyle w:val="CRCoverPage"/>
              <w:tabs>
                <w:tab w:val="right" w:pos="1759"/>
              </w:tabs>
              <w:spacing w:after="0"/>
              <w:rPr>
                <w:b/>
                <w:i/>
              </w:rPr>
            </w:pPr>
            <w:r>
              <w:rPr>
                <w:b/>
                <w:i/>
              </w:rPr>
              <w:t>Category:</w:t>
            </w:r>
          </w:p>
        </w:tc>
        <w:tc>
          <w:tcPr>
            <w:tcW w:w="851" w:type="dxa"/>
            <w:shd w:val="pct30" w:color="FFFF00" w:fill="auto"/>
          </w:tcPr>
          <w:p w14:paraId="12D88185" w14:textId="4456F9A4" w:rsidR="00A30704" w:rsidRDefault="00990B04">
            <w:pPr>
              <w:pStyle w:val="CRCoverPage"/>
              <w:spacing w:after="0"/>
              <w:ind w:left="100" w:right="-609"/>
              <w:rPr>
                <w:rFonts w:eastAsia="SimSun"/>
                <w:b/>
                <w:lang w:eastAsia="zh-CN"/>
              </w:rPr>
            </w:pPr>
            <w:r>
              <w:rPr>
                <w:rFonts w:eastAsia="SimSun"/>
                <w:lang w:val="en-US" w:eastAsia="zh-CN"/>
              </w:rPr>
              <w:t>A</w:t>
            </w:r>
          </w:p>
        </w:tc>
        <w:tc>
          <w:tcPr>
            <w:tcW w:w="3402" w:type="dxa"/>
            <w:gridSpan w:val="5"/>
            <w:tcBorders>
              <w:left w:val="nil"/>
            </w:tcBorders>
          </w:tcPr>
          <w:p w14:paraId="12D88186" w14:textId="77777777" w:rsidR="00A30704" w:rsidRDefault="00A30704">
            <w:pPr>
              <w:pStyle w:val="CRCoverPage"/>
              <w:spacing w:after="0"/>
            </w:pPr>
          </w:p>
        </w:tc>
        <w:tc>
          <w:tcPr>
            <w:tcW w:w="1417" w:type="dxa"/>
            <w:gridSpan w:val="3"/>
            <w:tcBorders>
              <w:left w:val="nil"/>
            </w:tcBorders>
          </w:tcPr>
          <w:p w14:paraId="12D88187" w14:textId="77777777" w:rsidR="00A30704" w:rsidRDefault="004367C2">
            <w:pPr>
              <w:pStyle w:val="CRCoverPage"/>
              <w:spacing w:after="0"/>
              <w:jc w:val="right"/>
              <w:rPr>
                <w:b/>
                <w:i/>
              </w:rPr>
            </w:pPr>
            <w:r>
              <w:rPr>
                <w:b/>
                <w:i/>
              </w:rPr>
              <w:t>Release:</w:t>
            </w:r>
          </w:p>
        </w:tc>
        <w:tc>
          <w:tcPr>
            <w:tcW w:w="2127" w:type="dxa"/>
            <w:tcBorders>
              <w:right w:val="single" w:sz="4" w:space="0" w:color="auto"/>
            </w:tcBorders>
            <w:shd w:val="pct30" w:color="FFFF00" w:fill="auto"/>
          </w:tcPr>
          <w:p w14:paraId="12D88188" w14:textId="67738A17" w:rsidR="00A30704" w:rsidRDefault="004367C2">
            <w:pPr>
              <w:pStyle w:val="CRCoverPage"/>
              <w:spacing w:after="0"/>
              <w:ind w:left="100"/>
              <w:rPr>
                <w:rFonts w:eastAsia="SimSun"/>
                <w:lang w:val="en-US" w:eastAsia="zh-CN"/>
              </w:rPr>
            </w:pPr>
            <w:proofErr w:type="spellStart"/>
            <w:r>
              <w:t>Rel</w:t>
            </w:r>
            <w:proofErr w:type="spellEnd"/>
            <w:r>
              <w:t>-</w:t>
            </w:r>
            <w:r>
              <w:rPr>
                <w:rFonts w:eastAsia="SimSun" w:hint="eastAsia"/>
                <w:lang w:val="en-US" w:eastAsia="zh-CN"/>
              </w:rPr>
              <w:t>1</w:t>
            </w:r>
            <w:r w:rsidR="00D12231">
              <w:rPr>
                <w:rFonts w:eastAsia="SimSun"/>
                <w:lang w:val="en-US" w:eastAsia="zh-CN"/>
              </w:rPr>
              <w:t>6</w:t>
            </w:r>
          </w:p>
        </w:tc>
      </w:tr>
      <w:tr w:rsidR="00A30704" w14:paraId="12D8818E" w14:textId="77777777">
        <w:tc>
          <w:tcPr>
            <w:tcW w:w="1843" w:type="dxa"/>
            <w:tcBorders>
              <w:left w:val="single" w:sz="4" w:space="0" w:color="auto"/>
              <w:bottom w:val="single" w:sz="4" w:space="0" w:color="auto"/>
            </w:tcBorders>
          </w:tcPr>
          <w:p w14:paraId="12D8818A" w14:textId="77777777" w:rsidR="00A30704" w:rsidRDefault="00A30704">
            <w:pPr>
              <w:pStyle w:val="CRCoverPage"/>
              <w:spacing w:after="0"/>
              <w:rPr>
                <w:b/>
                <w:i/>
              </w:rPr>
            </w:pPr>
          </w:p>
        </w:tc>
        <w:tc>
          <w:tcPr>
            <w:tcW w:w="4677" w:type="dxa"/>
            <w:gridSpan w:val="8"/>
            <w:tcBorders>
              <w:bottom w:val="single" w:sz="4" w:space="0" w:color="auto"/>
            </w:tcBorders>
          </w:tcPr>
          <w:p w14:paraId="12D8818B" w14:textId="77777777" w:rsidR="00A30704" w:rsidRDefault="004367C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2D8818C" w14:textId="77777777" w:rsidR="00A30704" w:rsidRDefault="004367C2">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2D8818D" w14:textId="77777777" w:rsidR="00A30704" w:rsidRDefault="004367C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30704" w14:paraId="12D88191" w14:textId="77777777">
        <w:tc>
          <w:tcPr>
            <w:tcW w:w="1843" w:type="dxa"/>
          </w:tcPr>
          <w:p w14:paraId="12D8818F" w14:textId="77777777" w:rsidR="00A30704" w:rsidRDefault="00A30704">
            <w:pPr>
              <w:pStyle w:val="CRCoverPage"/>
              <w:spacing w:after="0"/>
              <w:rPr>
                <w:b/>
                <w:i/>
                <w:sz w:val="8"/>
                <w:szCs w:val="8"/>
              </w:rPr>
            </w:pPr>
          </w:p>
        </w:tc>
        <w:tc>
          <w:tcPr>
            <w:tcW w:w="7797" w:type="dxa"/>
            <w:gridSpan w:val="10"/>
          </w:tcPr>
          <w:p w14:paraId="12D88190" w14:textId="77777777" w:rsidR="00A30704" w:rsidRDefault="00A30704">
            <w:pPr>
              <w:pStyle w:val="CRCoverPage"/>
              <w:spacing w:after="0"/>
              <w:rPr>
                <w:sz w:val="8"/>
                <w:szCs w:val="8"/>
              </w:rPr>
            </w:pPr>
          </w:p>
        </w:tc>
      </w:tr>
      <w:tr w:rsidR="00A30704" w14:paraId="12D88194" w14:textId="77777777">
        <w:tc>
          <w:tcPr>
            <w:tcW w:w="2694" w:type="dxa"/>
            <w:gridSpan w:val="2"/>
            <w:tcBorders>
              <w:top w:val="single" w:sz="4" w:space="0" w:color="auto"/>
              <w:left w:val="single" w:sz="4" w:space="0" w:color="auto"/>
            </w:tcBorders>
          </w:tcPr>
          <w:p w14:paraId="12D88192" w14:textId="77777777" w:rsidR="00A30704" w:rsidRDefault="004367C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2D88193" w14:textId="653FF1D4" w:rsidR="00AF3265" w:rsidRDefault="00A4259F" w:rsidP="00F62010">
            <w:pPr>
              <w:pStyle w:val="CRCoverPage"/>
              <w:spacing w:after="0"/>
              <w:ind w:left="100"/>
            </w:pPr>
            <w:r>
              <w:t xml:space="preserve">In </w:t>
            </w:r>
            <w:r w:rsidRPr="00A4259F">
              <w:t>Measurement definition template</w:t>
            </w:r>
            <w:r>
              <w:t xml:space="preserve">, it is specified that </w:t>
            </w:r>
            <w:r w:rsidR="00FC7AA6">
              <w:t xml:space="preserve">“The </w:t>
            </w:r>
            <w:proofErr w:type="gramStart"/>
            <w:r w:rsidR="00FC7AA6">
              <w:t>vendor-specific</w:t>
            </w:r>
            <w:proofErr w:type="gramEnd"/>
            <w:r w:rsidR="00FC7AA6">
              <w:t xml:space="preserve"> UMTS and combined GSM/UMTS measurement names will all begin with the VS prefix.”</w:t>
            </w:r>
            <w:r w:rsidR="00B25CDC">
              <w:t xml:space="preserve"> However, the </w:t>
            </w:r>
            <w:r w:rsidR="00EB6727">
              <w:t xml:space="preserve">vendor-specific </w:t>
            </w:r>
            <w:r w:rsidR="00B25CDC">
              <w:t xml:space="preserve">measurement definition for </w:t>
            </w:r>
            <w:r w:rsidR="00E6166D">
              <w:t>4G/</w:t>
            </w:r>
            <w:r w:rsidR="00B25CDC">
              <w:t>5G is missing.</w:t>
            </w:r>
          </w:p>
        </w:tc>
      </w:tr>
      <w:tr w:rsidR="00A30704" w14:paraId="12D88197" w14:textId="77777777">
        <w:tc>
          <w:tcPr>
            <w:tcW w:w="2694" w:type="dxa"/>
            <w:gridSpan w:val="2"/>
            <w:tcBorders>
              <w:left w:val="single" w:sz="4" w:space="0" w:color="auto"/>
            </w:tcBorders>
          </w:tcPr>
          <w:p w14:paraId="12D88195" w14:textId="77777777" w:rsidR="00A30704" w:rsidRDefault="00A30704">
            <w:pPr>
              <w:pStyle w:val="CRCoverPage"/>
              <w:spacing w:after="0"/>
              <w:rPr>
                <w:b/>
                <w:i/>
                <w:sz w:val="8"/>
                <w:szCs w:val="8"/>
              </w:rPr>
            </w:pPr>
          </w:p>
        </w:tc>
        <w:tc>
          <w:tcPr>
            <w:tcW w:w="6946" w:type="dxa"/>
            <w:gridSpan w:val="9"/>
            <w:tcBorders>
              <w:right w:val="single" w:sz="4" w:space="0" w:color="auto"/>
            </w:tcBorders>
          </w:tcPr>
          <w:p w14:paraId="12D88196" w14:textId="77777777" w:rsidR="00A30704" w:rsidRDefault="00A30704">
            <w:pPr>
              <w:pStyle w:val="CRCoverPage"/>
              <w:spacing w:after="0"/>
              <w:rPr>
                <w:sz w:val="8"/>
                <w:szCs w:val="8"/>
              </w:rPr>
            </w:pPr>
          </w:p>
        </w:tc>
      </w:tr>
      <w:tr w:rsidR="00A30704" w14:paraId="12D8819A" w14:textId="77777777">
        <w:tc>
          <w:tcPr>
            <w:tcW w:w="2694" w:type="dxa"/>
            <w:gridSpan w:val="2"/>
            <w:tcBorders>
              <w:left w:val="single" w:sz="4" w:space="0" w:color="auto"/>
            </w:tcBorders>
          </w:tcPr>
          <w:p w14:paraId="12D88198" w14:textId="77777777" w:rsidR="00A30704" w:rsidRDefault="004367C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2D88199" w14:textId="123D5A05" w:rsidR="00A30704" w:rsidRDefault="009E5B12">
            <w:pPr>
              <w:pStyle w:val="CRCoverPage"/>
              <w:spacing w:after="0"/>
              <w:ind w:left="100"/>
              <w:rPr>
                <w:rFonts w:eastAsia="SimSun"/>
                <w:lang w:val="en-US" w:eastAsia="zh-CN"/>
              </w:rPr>
            </w:pPr>
            <w:r>
              <w:t>Make the</w:t>
            </w:r>
            <w:r w:rsidR="00B25CDC">
              <w:t xml:space="preserve"> vendor-specific measurement name</w:t>
            </w:r>
            <w:r>
              <w:t xml:space="preserve"> rule generic eno</w:t>
            </w:r>
            <w:r w:rsidR="00E6166D">
              <w:t xml:space="preserve">ugh to cover all </w:t>
            </w:r>
            <w:proofErr w:type="spellStart"/>
            <w:r w:rsidR="00EB6727">
              <w:t>generiations</w:t>
            </w:r>
            <w:proofErr w:type="spellEnd"/>
            <w:r w:rsidR="00EB6727">
              <w:t xml:space="preserve"> </w:t>
            </w:r>
          </w:p>
        </w:tc>
      </w:tr>
      <w:tr w:rsidR="00A30704" w14:paraId="12D8819D" w14:textId="77777777">
        <w:tc>
          <w:tcPr>
            <w:tcW w:w="2694" w:type="dxa"/>
            <w:gridSpan w:val="2"/>
            <w:tcBorders>
              <w:left w:val="single" w:sz="4" w:space="0" w:color="auto"/>
            </w:tcBorders>
          </w:tcPr>
          <w:p w14:paraId="12D8819B" w14:textId="77777777" w:rsidR="00A30704" w:rsidRDefault="00A30704">
            <w:pPr>
              <w:pStyle w:val="CRCoverPage"/>
              <w:spacing w:after="0"/>
              <w:rPr>
                <w:b/>
                <w:i/>
                <w:sz w:val="8"/>
                <w:szCs w:val="8"/>
              </w:rPr>
            </w:pPr>
          </w:p>
        </w:tc>
        <w:tc>
          <w:tcPr>
            <w:tcW w:w="6946" w:type="dxa"/>
            <w:gridSpan w:val="9"/>
            <w:tcBorders>
              <w:right w:val="single" w:sz="4" w:space="0" w:color="auto"/>
            </w:tcBorders>
          </w:tcPr>
          <w:p w14:paraId="12D8819C" w14:textId="77777777" w:rsidR="00A30704" w:rsidRDefault="00A30704">
            <w:pPr>
              <w:pStyle w:val="CRCoverPage"/>
              <w:spacing w:after="0"/>
              <w:rPr>
                <w:sz w:val="8"/>
                <w:szCs w:val="8"/>
              </w:rPr>
            </w:pPr>
          </w:p>
        </w:tc>
      </w:tr>
      <w:tr w:rsidR="00A30704" w14:paraId="12D881A0" w14:textId="77777777">
        <w:tc>
          <w:tcPr>
            <w:tcW w:w="2694" w:type="dxa"/>
            <w:gridSpan w:val="2"/>
            <w:tcBorders>
              <w:left w:val="single" w:sz="4" w:space="0" w:color="auto"/>
              <w:bottom w:val="single" w:sz="4" w:space="0" w:color="auto"/>
            </w:tcBorders>
          </w:tcPr>
          <w:p w14:paraId="12D8819E" w14:textId="77777777" w:rsidR="00A30704" w:rsidRDefault="004367C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D8819F" w14:textId="7B21CBF0" w:rsidR="00A30704" w:rsidRDefault="008158BD">
            <w:pPr>
              <w:pStyle w:val="CRCoverPage"/>
              <w:spacing w:after="0"/>
              <w:ind w:left="100"/>
              <w:rPr>
                <w:rFonts w:eastAsia="SimSun"/>
                <w:lang w:val="en-US" w:eastAsia="zh-CN"/>
              </w:rPr>
            </w:pPr>
            <w:r>
              <w:t xml:space="preserve">Impossible </w:t>
            </w:r>
            <w:r w:rsidR="00AE114A">
              <w:t xml:space="preserve">for </w:t>
            </w:r>
            <w:r w:rsidR="00B25CDC">
              <w:t xml:space="preserve">vendor-specific </w:t>
            </w:r>
            <w:r w:rsidR="00EA51A7">
              <w:t>4G/</w:t>
            </w:r>
            <w:r w:rsidR="00B25CDC">
              <w:t>5G measurement implementation</w:t>
            </w:r>
            <w:r w:rsidR="000320D5">
              <w:t>.</w:t>
            </w:r>
          </w:p>
        </w:tc>
      </w:tr>
      <w:tr w:rsidR="00A30704" w14:paraId="12D881A3" w14:textId="77777777">
        <w:tc>
          <w:tcPr>
            <w:tcW w:w="2694" w:type="dxa"/>
            <w:gridSpan w:val="2"/>
          </w:tcPr>
          <w:p w14:paraId="12D881A1" w14:textId="77777777" w:rsidR="00A30704" w:rsidRDefault="00A30704">
            <w:pPr>
              <w:pStyle w:val="CRCoverPage"/>
              <w:spacing w:after="0"/>
              <w:rPr>
                <w:b/>
                <w:i/>
                <w:sz w:val="8"/>
                <w:szCs w:val="8"/>
              </w:rPr>
            </w:pPr>
          </w:p>
        </w:tc>
        <w:tc>
          <w:tcPr>
            <w:tcW w:w="6946" w:type="dxa"/>
            <w:gridSpan w:val="9"/>
          </w:tcPr>
          <w:p w14:paraId="12D881A2" w14:textId="77777777" w:rsidR="00A30704" w:rsidRDefault="00A30704">
            <w:pPr>
              <w:pStyle w:val="CRCoverPage"/>
              <w:spacing w:after="0"/>
              <w:rPr>
                <w:sz w:val="8"/>
                <w:szCs w:val="8"/>
              </w:rPr>
            </w:pPr>
          </w:p>
        </w:tc>
      </w:tr>
      <w:tr w:rsidR="00A30704" w14:paraId="12D881A6" w14:textId="77777777">
        <w:tc>
          <w:tcPr>
            <w:tcW w:w="2694" w:type="dxa"/>
            <w:gridSpan w:val="2"/>
            <w:tcBorders>
              <w:top w:val="single" w:sz="4" w:space="0" w:color="auto"/>
              <w:left w:val="single" w:sz="4" w:space="0" w:color="auto"/>
            </w:tcBorders>
          </w:tcPr>
          <w:p w14:paraId="12D881A4" w14:textId="77777777" w:rsidR="00A30704" w:rsidRDefault="004367C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2D881A5" w14:textId="692E3073" w:rsidR="00A30704" w:rsidRDefault="00037999">
            <w:pPr>
              <w:pStyle w:val="CRCoverPage"/>
              <w:spacing w:after="0"/>
              <w:ind w:left="100"/>
              <w:rPr>
                <w:rFonts w:eastAsia="SimSun"/>
                <w:lang w:val="en-US" w:eastAsia="zh-CN"/>
              </w:rPr>
            </w:pPr>
            <w:r>
              <w:rPr>
                <w:rFonts w:eastAsia="SimSun"/>
                <w:lang w:val="en-US" w:eastAsia="zh-CN"/>
              </w:rPr>
              <w:t>3.3</w:t>
            </w:r>
          </w:p>
        </w:tc>
      </w:tr>
      <w:tr w:rsidR="00A30704" w14:paraId="12D881A9" w14:textId="77777777">
        <w:tc>
          <w:tcPr>
            <w:tcW w:w="2694" w:type="dxa"/>
            <w:gridSpan w:val="2"/>
            <w:tcBorders>
              <w:left w:val="single" w:sz="4" w:space="0" w:color="auto"/>
            </w:tcBorders>
          </w:tcPr>
          <w:p w14:paraId="12D881A7" w14:textId="77777777" w:rsidR="00A30704" w:rsidRDefault="00A30704">
            <w:pPr>
              <w:pStyle w:val="CRCoverPage"/>
              <w:spacing w:after="0"/>
              <w:rPr>
                <w:b/>
                <w:i/>
                <w:sz w:val="8"/>
                <w:szCs w:val="8"/>
              </w:rPr>
            </w:pPr>
          </w:p>
        </w:tc>
        <w:tc>
          <w:tcPr>
            <w:tcW w:w="6946" w:type="dxa"/>
            <w:gridSpan w:val="9"/>
            <w:tcBorders>
              <w:right w:val="single" w:sz="4" w:space="0" w:color="auto"/>
            </w:tcBorders>
          </w:tcPr>
          <w:p w14:paraId="12D881A8" w14:textId="77777777" w:rsidR="00A30704" w:rsidRDefault="00A30704">
            <w:pPr>
              <w:pStyle w:val="CRCoverPage"/>
              <w:spacing w:after="0"/>
              <w:rPr>
                <w:sz w:val="8"/>
                <w:szCs w:val="8"/>
              </w:rPr>
            </w:pPr>
          </w:p>
        </w:tc>
      </w:tr>
      <w:tr w:rsidR="00A30704" w14:paraId="12D881AF" w14:textId="77777777">
        <w:tc>
          <w:tcPr>
            <w:tcW w:w="2694" w:type="dxa"/>
            <w:gridSpan w:val="2"/>
            <w:tcBorders>
              <w:left w:val="single" w:sz="4" w:space="0" w:color="auto"/>
            </w:tcBorders>
          </w:tcPr>
          <w:p w14:paraId="12D881AA" w14:textId="77777777" w:rsidR="00A30704" w:rsidRDefault="00A3070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D881AB" w14:textId="77777777" w:rsidR="00A30704" w:rsidRDefault="004367C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Default="004367C2">
            <w:pPr>
              <w:pStyle w:val="CRCoverPage"/>
              <w:spacing w:after="0"/>
              <w:jc w:val="center"/>
              <w:rPr>
                <w:b/>
                <w:caps/>
              </w:rPr>
            </w:pPr>
            <w:r>
              <w:rPr>
                <w:b/>
                <w:caps/>
              </w:rPr>
              <w:t>N</w:t>
            </w:r>
          </w:p>
        </w:tc>
        <w:tc>
          <w:tcPr>
            <w:tcW w:w="2977" w:type="dxa"/>
            <w:gridSpan w:val="4"/>
          </w:tcPr>
          <w:p w14:paraId="12D881AD" w14:textId="77777777" w:rsidR="00A30704" w:rsidRDefault="00A30704">
            <w:pPr>
              <w:pStyle w:val="CRCoverPage"/>
              <w:tabs>
                <w:tab w:val="right" w:pos="2893"/>
              </w:tabs>
              <w:spacing w:after="0"/>
            </w:pPr>
          </w:p>
        </w:tc>
        <w:tc>
          <w:tcPr>
            <w:tcW w:w="3401" w:type="dxa"/>
            <w:gridSpan w:val="3"/>
            <w:tcBorders>
              <w:right w:val="single" w:sz="4" w:space="0" w:color="auto"/>
            </w:tcBorders>
            <w:shd w:val="clear" w:color="FFFF00" w:fill="auto"/>
          </w:tcPr>
          <w:p w14:paraId="12D881AE" w14:textId="77777777" w:rsidR="00A30704" w:rsidRDefault="00A30704">
            <w:pPr>
              <w:pStyle w:val="CRCoverPage"/>
              <w:spacing w:after="0"/>
              <w:ind w:left="99"/>
            </w:pPr>
          </w:p>
        </w:tc>
      </w:tr>
      <w:tr w:rsidR="00A30704" w14:paraId="12D881B5" w14:textId="77777777">
        <w:tc>
          <w:tcPr>
            <w:tcW w:w="2694" w:type="dxa"/>
            <w:gridSpan w:val="2"/>
            <w:tcBorders>
              <w:left w:val="single" w:sz="4" w:space="0" w:color="auto"/>
            </w:tcBorders>
          </w:tcPr>
          <w:p w14:paraId="12D881B0" w14:textId="77777777" w:rsidR="00A30704" w:rsidRDefault="004367C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77777777" w:rsidR="00A30704" w:rsidRDefault="00A307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708F066" w:rsidR="00A30704" w:rsidRPr="0035508C" w:rsidRDefault="0035508C">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2D881B3" w14:textId="77777777" w:rsidR="00A30704" w:rsidRDefault="004367C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2D881B4" w14:textId="77777777" w:rsidR="00A30704" w:rsidRDefault="004367C2">
            <w:pPr>
              <w:pStyle w:val="CRCoverPage"/>
              <w:spacing w:after="0"/>
              <w:ind w:left="99"/>
            </w:pPr>
            <w:r>
              <w:t xml:space="preserve">TS/TR ... CR ... </w:t>
            </w:r>
          </w:p>
        </w:tc>
      </w:tr>
      <w:tr w:rsidR="00A30704" w14:paraId="12D881BB" w14:textId="77777777">
        <w:tc>
          <w:tcPr>
            <w:tcW w:w="2694" w:type="dxa"/>
            <w:gridSpan w:val="2"/>
            <w:tcBorders>
              <w:left w:val="single" w:sz="4" w:space="0" w:color="auto"/>
            </w:tcBorders>
          </w:tcPr>
          <w:p w14:paraId="12D881B6" w14:textId="77777777" w:rsidR="00A30704" w:rsidRDefault="004367C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Default="00A307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35508C" w:rsidRDefault="0035508C">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2D881B9" w14:textId="77777777" w:rsidR="00A30704" w:rsidRDefault="004367C2">
            <w:pPr>
              <w:pStyle w:val="CRCoverPage"/>
              <w:spacing w:after="0"/>
            </w:pPr>
            <w:r>
              <w:t xml:space="preserve"> Test specifications</w:t>
            </w:r>
          </w:p>
        </w:tc>
        <w:tc>
          <w:tcPr>
            <w:tcW w:w="3401" w:type="dxa"/>
            <w:gridSpan w:val="3"/>
            <w:tcBorders>
              <w:right w:val="single" w:sz="4" w:space="0" w:color="auto"/>
            </w:tcBorders>
            <w:shd w:val="pct30" w:color="FFFF00" w:fill="auto"/>
          </w:tcPr>
          <w:p w14:paraId="12D881BA" w14:textId="77777777" w:rsidR="00A30704" w:rsidRDefault="004367C2">
            <w:pPr>
              <w:pStyle w:val="CRCoverPage"/>
              <w:spacing w:after="0"/>
              <w:ind w:left="99"/>
            </w:pPr>
            <w:r>
              <w:t xml:space="preserve">TS/TR ... CR ... </w:t>
            </w:r>
          </w:p>
        </w:tc>
      </w:tr>
      <w:tr w:rsidR="00A30704" w14:paraId="12D881C1" w14:textId="77777777">
        <w:tc>
          <w:tcPr>
            <w:tcW w:w="2694" w:type="dxa"/>
            <w:gridSpan w:val="2"/>
            <w:tcBorders>
              <w:left w:val="single" w:sz="4" w:space="0" w:color="auto"/>
            </w:tcBorders>
          </w:tcPr>
          <w:p w14:paraId="12D881BC" w14:textId="77777777" w:rsidR="00A30704" w:rsidRDefault="004367C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77777777" w:rsidR="00A30704" w:rsidRDefault="00A307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23488E9A" w:rsidR="00A30704" w:rsidRPr="0035508C" w:rsidRDefault="0035508C">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2D881BF" w14:textId="77777777" w:rsidR="00A30704" w:rsidRDefault="004367C2">
            <w:pPr>
              <w:pStyle w:val="CRCoverPage"/>
              <w:spacing w:after="0"/>
            </w:pPr>
            <w:r>
              <w:t xml:space="preserve"> O&amp;M Specifications</w:t>
            </w:r>
          </w:p>
        </w:tc>
        <w:tc>
          <w:tcPr>
            <w:tcW w:w="3401" w:type="dxa"/>
            <w:gridSpan w:val="3"/>
            <w:tcBorders>
              <w:right w:val="single" w:sz="4" w:space="0" w:color="auto"/>
            </w:tcBorders>
            <w:shd w:val="pct30" w:color="FFFF00" w:fill="auto"/>
          </w:tcPr>
          <w:p w14:paraId="12D881C0" w14:textId="77777777" w:rsidR="00A30704" w:rsidRDefault="004367C2">
            <w:pPr>
              <w:pStyle w:val="CRCoverPage"/>
              <w:spacing w:after="0"/>
              <w:ind w:left="99"/>
            </w:pPr>
            <w:r>
              <w:t xml:space="preserve">TS/TR ... CR ... </w:t>
            </w:r>
          </w:p>
        </w:tc>
      </w:tr>
      <w:tr w:rsidR="00A30704" w14:paraId="12D881C4" w14:textId="77777777">
        <w:tc>
          <w:tcPr>
            <w:tcW w:w="2694" w:type="dxa"/>
            <w:gridSpan w:val="2"/>
            <w:tcBorders>
              <w:left w:val="single" w:sz="4" w:space="0" w:color="auto"/>
            </w:tcBorders>
          </w:tcPr>
          <w:p w14:paraId="12D881C2" w14:textId="77777777" w:rsidR="00A30704" w:rsidRDefault="00A30704">
            <w:pPr>
              <w:pStyle w:val="CRCoverPage"/>
              <w:spacing w:after="0"/>
              <w:rPr>
                <w:b/>
                <w:i/>
              </w:rPr>
            </w:pPr>
          </w:p>
        </w:tc>
        <w:tc>
          <w:tcPr>
            <w:tcW w:w="6946" w:type="dxa"/>
            <w:gridSpan w:val="9"/>
            <w:tcBorders>
              <w:right w:val="single" w:sz="4" w:space="0" w:color="auto"/>
            </w:tcBorders>
          </w:tcPr>
          <w:p w14:paraId="12D881C3" w14:textId="77777777" w:rsidR="00A30704" w:rsidRDefault="00A30704">
            <w:pPr>
              <w:pStyle w:val="CRCoverPage"/>
              <w:spacing w:after="0"/>
            </w:pPr>
          </w:p>
        </w:tc>
      </w:tr>
      <w:tr w:rsidR="00A30704" w14:paraId="12D881C7" w14:textId="77777777">
        <w:tc>
          <w:tcPr>
            <w:tcW w:w="2694" w:type="dxa"/>
            <w:gridSpan w:val="2"/>
            <w:tcBorders>
              <w:left w:val="single" w:sz="4" w:space="0" w:color="auto"/>
              <w:bottom w:val="single" w:sz="4" w:space="0" w:color="auto"/>
            </w:tcBorders>
          </w:tcPr>
          <w:p w14:paraId="12D881C5" w14:textId="77777777" w:rsidR="00A30704" w:rsidRDefault="004367C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2D881C6" w14:textId="77777777" w:rsidR="00A30704" w:rsidRDefault="00A30704">
            <w:pPr>
              <w:pStyle w:val="CRCoverPage"/>
              <w:spacing w:after="0"/>
              <w:ind w:left="100"/>
            </w:pPr>
          </w:p>
        </w:tc>
      </w:tr>
      <w:tr w:rsidR="00A30704" w14:paraId="12D881CA" w14:textId="77777777">
        <w:tc>
          <w:tcPr>
            <w:tcW w:w="2694" w:type="dxa"/>
            <w:gridSpan w:val="2"/>
            <w:tcBorders>
              <w:top w:val="single" w:sz="4" w:space="0" w:color="auto"/>
              <w:bottom w:val="single" w:sz="4" w:space="0" w:color="auto"/>
            </w:tcBorders>
          </w:tcPr>
          <w:p w14:paraId="12D881C8" w14:textId="77777777" w:rsidR="00A30704" w:rsidRDefault="00A3070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Default="00A30704">
            <w:pPr>
              <w:pStyle w:val="CRCoverPage"/>
              <w:spacing w:after="0"/>
              <w:ind w:left="100"/>
              <w:rPr>
                <w:sz w:val="8"/>
                <w:szCs w:val="8"/>
              </w:rPr>
            </w:pPr>
          </w:p>
        </w:tc>
      </w:tr>
      <w:tr w:rsidR="00A30704"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Default="004367C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Default="00A30704">
            <w:pPr>
              <w:pStyle w:val="CRCoverPage"/>
              <w:spacing w:after="0"/>
              <w:ind w:left="100"/>
            </w:pPr>
          </w:p>
        </w:tc>
      </w:tr>
    </w:tbl>
    <w:p w14:paraId="12D881CE" w14:textId="77777777" w:rsidR="00A30704" w:rsidRDefault="00A30704">
      <w:pPr>
        <w:pStyle w:val="CRCoverPage"/>
        <w:spacing w:after="0"/>
        <w:rPr>
          <w:sz w:val="8"/>
          <w:szCs w:val="8"/>
        </w:rPr>
      </w:pPr>
    </w:p>
    <w:p w14:paraId="12D881CF" w14:textId="77777777" w:rsidR="00A30704" w:rsidRDefault="00A30704"/>
    <w:p w14:paraId="6818AE8A" w14:textId="20B9BA36" w:rsidR="00326602" w:rsidRDefault="00326602" w:rsidP="00326602">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xml:space="preserve">*** </w:t>
      </w:r>
      <w:r w:rsidR="00E560E8">
        <w:rPr>
          <w:rFonts w:ascii="Arial" w:hAnsi="Arial" w:cs="Arial"/>
          <w:color w:val="548DD4" w:themeColor="text2" w:themeTint="99"/>
          <w:sz w:val="28"/>
          <w:szCs w:val="32"/>
        </w:rPr>
        <w:t>NEXT</w:t>
      </w:r>
      <w:r w:rsidRPr="00A717EB">
        <w:rPr>
          <w:rFonts w:ascii="Arial" w:hAnsi="Arial" w:cs="Arial"/>
          <w:color w:val="548DD4" w:themeColor="text2" w:themeTint="99"/>
          <w:sz w:val="28"/>
          <w:szCs w:val="32"/>
        </w:rPr>
        <w:t xml:space="preserve"> CHANGE</w:t>
      </w:r>
      <w:r w:rsidR="00E560E8">
        <w:rPr>
          <w:rFonts w:ascii="Arial" w:hAnsi="Arial" w:cs="Arial"/>
          <w:color w:val="548DD4" w:themeColor="text2" w:themeTint="99"/>
          <w:sz w:val="28"/>
          <w:szCs w:val="32"/>
        </w:rPr>
        <w:t>S</w:t>
      </w:r>
      <w:r>
        <w:rPr>
          <w:rFonts w:ascii="Arial" w:hAnsi="Arial" w:cs="Arial"/>
          <w:color w:val="548DD4" w:themeColor="text2" w:themeTint="99"/>
          <w:sz w:val="28"/>
          <w:szCs w:val="32"/>
        </w:rPr>
        <w:t xml:space="preserve"> ***</w:t>
      </w:r>
    </w:p>
    <w:p w14:paraId="59B24838" w14:textId="77777777" w:rsidR="00037999" w:rsidRDefault="00037999" w:rsidP="00037999">
      <w:pPr>
        <w:pStyle w:val="Heading2"/>
        <w:rPr>
          <w:lang w:eastAsia="en-GB"/>
        </w:rPr>
      </w:pPr>
      <w:bookmarkStart w:id="2" w:name="_Toc303782423"/>
      <w:r>
        <w:t>3.3</w:t>
      </w:r>
      <w:r>
        <w:tab/>
        <w:t>Measurement definition template</w:t>
      </w:r>
      <w:bookmarkEnd w:id="2"/>
    </w:p>
    <w:p w14:paraId="2789753F" w14:textId="77777777" w:rsidR="00037999" w:rsidRDefault="00037999" w:rsidP="00037999">
      <w:r>
        <w:t>Following is the template used to describe the measurements contained in this subclause.</w:t>
      </w:r>
    </w:p>
    <w:p w14:paraId="5F63B0C0" w14:textId="77777777" w:rsidR="00037999" w:rsidRDefault="00037999" w:rsidP="00037999">
      <w:pPr>
        <w:rPr>
          <w:b/>
        </w:rPr>
      </w:pPr>
      <w:proofErr w:type="spellStart"/>
      <w:r>
        <w:rPr>
          <w:b/>
        </w:rPr>
        <w:t>C.x.y</w:t>
      </w:r>
      <w:proofErr w:type="spellEnd"/>
      <w:r>
        <w:rPr>
          <w:b/>
        </w:rPr>
        <w:t>. Measurement Name (clause header)</w:t>
      </w:r>
    </w:p>
    <w:p w14:paraId="0E809ECE" w14:textId="77777777" w:rsidR="00037999" w:rsidRDefault="00037999" w:rsidP="00037999">
      <w:pPr>
        <w:pStyle w:val="B1"/>
      </w:pPr>
      <w:r>
        <w:tab/>
        <w:t xml:space="preserve">This is a descriptive name of the measurement type that is specified as clause </w:t>
      </w:r>
      <w:proofErr w:type="spellStart"/>
      <w:r>
        <w:t>C.x.y</w:t>
      </w:r>
      <w:proofErr w:type="spellEnd"/>
      <w:r>
        <w:t xml:space="preserve"> of the present document.</w:t>
      </w:r>
    </w:p>
    <w:p w14:paraId="7758EB45" w14:textId="77777777" w:rsidR="00037999" w:rsidRDefault="00037999" w:rsidP="00037999">
      <w:pPr>
        <w:pStyle w:val="B1"/>
      </w:pPr>
      <w:r>
        <w:tab/>
        <w:t>The measurement name shall be written in lower-case characters except abbreviations (e.g. RNC).</w:t>
      </w:r>
    </w:p>
    <w:p w14:paraId="2946BD3D" w14:textId="77777777" w:rsidR="00037999" w:rsidRDefault="00037999" w:rsidP="00037999">
      <w:pPr>
        <w:pStyle w:val="B1"/>
      </w:pPr>
      <w:r>
        <w:lastRenderedPageBreak/>
        <w:tab/>
        <w:t xml:space="preserve">A measurement name can apply to one or more measurements. If the measurement name applies to several </w:t>
      </w:r>
      <w:proofErr w:type="gramStart"/>
      <w:r>
        <w:t>measurements</w:t>
      </w:r>
      <w:proofErr w:type="gramEnd"/>
      <w:r>
        <w:t xml:space="preserve"> then all fields of the template will take this into account.</w:t>
      </w:r>
    </w:p>
    <w:p w14:paraId="19D69AB7" w14:textId="77777777" w:rsidR="00037999" w:rsidRDefault="00037999" w:rsidP="00037999">
      <w:pPr>
        <w:pStyle w:val="B1"/>
      </w:pPr>
      <w:r>
        <w:tab/>
        <w:t>Measurement names shall not exceed 64 characters in length and should be constrained to 32 ch</w:t>
      </w:r>
      <w:r>
        <w:rPr>
          <w:lang w:eastAsia="zh-CN"/>
        </w:rPr>
        <w:t>a</w:t>
      </w:r>
      <w:r>
        <w:t>racters maximum. Exceptions greater than 32 characters are allowed but should be kept to a minimum and only made where necessary.</w:t>
      </w:r>
    </w:p>
    <w:p w14:paraId="58FA11E1" w14:textId="77777777" w:rsidR="00037999" w:rsidRDefault="00037999" w:rsidP="00037999">
      <w:pPr>
        <w:pStyle w:val="B1"/>
        <w:rPr>
          <w:b/>
        </w:rPr>
      </w:pPr>
      <w:r>
        <w:rPr>
          <w:b/>
        </w:rPr>
        <w:t>a)</w:t>
      </w:r>
      <w:r>
        <w:rPr>
          <w:b/>
        </w:rPr>
        <w:tab/>
        <w:t>Description</w:t>
      </w:r>
    </w:p>
    <w:p w14:paraId="0C8CD5CF" w14:textId="77777777" w:rsidR="00037999" w:rsidRDefault="00037999" w:rsidP="00037999">
      <w:pPr>
        <w:pStyle w:val="B1"/>
      </w:pPr>
      <w:r>
        <w:tab/>
        <w:t>This subclause contains an explanation of the measurement operation.</w:t>
      </w:r>
    </w:p>
    <w:p w14:paraId="11F31D59" w14:textId="77777777" w:rsidR="00037999" w:rsidRDefault="00037999" w:rsidP="00037999">
      <w:pPr>
        <w:pStyle w:val="B1"/>
        <w:rPr>
          <w:b/>
        </w:rPr>
      </w:pPr>
      <w:r>
        <w:rPr>
          <w:b/>
        </w:rPr>
        <w:t>b)</w:t>
      </w:r>
      <w:r>
        <w:rPr>
          <w:b/>
        </w:rPr>
        <w:tab/>
        <w:t>Collection Method</w:t>
      </w:r>
    </w:p>
    <w:p w14:paraId="36B9AD2F" w14:textId="77777777" w:rsidR="00037999" w:rsidRDefault="00037999" w:rsidP="00037999">
      <w:pPr>
        <w:pStyle w:val="B1"/>
      </w:pPr>
      <w:r>
        <w:tab/>
        <w:t>This n contains the form in which this measurement data is obtained:</w:t>
      </w:r>
    </w:p>
    <w:p w14:paraId="0C35B35A" w14:textId="77777777" w:rsidR="00037999" w:rsidRDefault="00037999" w:rsidP="00037999">
      <w:pPr>
        <w:pStyle w:val="B2"/>
      </w:pPr>
      <w:r>
        <w:t>-</w:t>
      </w:r>
      <w:r>
        <w:tab/>
      </w:r>
      <w:r>
        <w:rPr>
          <w:b/>
          <w:bCs/>
        </w:rPr>
        <w:t>CC</w:t>
      </w:r>
      <w:r>
        <w:t xml:space="preserve"> (Cumulative Counter</w:t>
      </w:r>
      <w:proofErr w:type="gramStart"/>
      <w:r>
        <w:t>);</w:t>
      </w:r>
      <w:proofErr w:type="gramEnd"/>
    </w:p>
    <w:p w14:paraId="032E3DEB" w14:textId="77777777" w:rsidR="00037999" w:rsidRDefault="00037999" w:rsidP="00037999">
      <w:pPr>
        <w:pStyle w:val="B2"/>
      </w:pPr>
      <w:r>
        <w:t>-</w:t>
      </w:r>
      <w:r>
        <w:tab/>
      </w:r>
      <w:r>
        <w:rPr>
          <w:b/>
          <w:bCs/>
        </w:rPr>
        <w:t>GAUGE</w:t>
      </w:r>
      <w:r>
        <w:t xml:space="preserve"> (dynamic variable), used when data being measured can vary up or down during the period of </w:t>
      </w:r>
      <w:proofErr w:type="gramStart"/>
      <w:r>
        <w:t>measurement;</w:t>
      </w:r>
      <w:proofErr w:type="gramEnd"/>
    </w:p>
    <w:p w14:paraId="200A1905" w14:textId="77777777" w:rsidR="00037999" w:rsidRDefault="00037999" w:rsidP="00037999">
      <w:pPr>
        <w:pStyle w:val="B2"/>
      </w:pPr>
      <w:r>
        <w:t>-</w:t>
      </w:r>
      <w:r>
        <w:tab/>
      </w:r>
      <w:r>
        <w:rPr>
          <w:b/>
          <w:bCs/>
        </w:rPr>
        <w:t>DER</w:t>
      </w:r>
      <w:r>
        <w:t xml:space="preserve"> (Discrete Event Registration), when data related to a particular event are captured every n</w:t>
      </w:r>
      <w:r>
        <w:rPr>
          <w:vertAlign w:val="superscript"/>
        </w:rPr>
        <w:t>th</w:t>
      </w:r>
      <w:r>
        <w:t xml:space="preserve"> event is registered, where n can be 1 or </w:t>
      </w:r>
      <w:proofErr w:type="gramStart"/>
      <w:r>
        <w:t>larger;</w:t>
      </w:r>
      <w:proofErr w:type="gramEnd"/>
    </w:p>
    <w:p w14:paraId="3E6E9495" w14:textId="77777777" w:rsidR="00037999" w:rsidRDefault="00037999" w:rsidP="00037999">
      <w:pPr>
        <w:pStyle w:val="B2"/>
      </w:pPr>
      <w:r>
        <w:t>-</w:t>
      </w:r>
      <w:r>
        <w:tab/>
      </w:r>
      <w:r>
        <w:rPr>
          <w:b/>
          <w:bCs/>
        </w:rPr>
        <w:t>SI</w:t>
      </w:r>
      <w:r>
        <w:t xml:space="preserve"> (Status Inspection</w:t>
      </w:r>
      <w:proofErr w:type="gramStart"/>
      <w:r>
        <w:t>);</w:t>
      </w:r>
      <w:proofErr w:type="gramEnd"/>
      <w:r>
        <w:t xml:space="preserve"> </w:t>
      </w:r>
    </w:p>
    <w:p w14:paraId="3346F8B6" w14:textId="77777777" w:rsidR="00037999" w:rsidRDefault="00037999" w:rsidP="00037999">
      <w:pPr>
        <w:pStyle w:val="B2"/>
      </w:pPr>
      <w:r>
        <w:t>-</w:t>
      </w:r>
      <w:r>
        <w:tab/>
      </w:r>
      <w:r>
        <w:rPr>
          <w:b/>
        </w:rPr>
        <w:t xml:space="preserve">TF </w:t>
      </w:r>
      <w:r>
        <w:t>(Transparent Forwarding</w:t>
      </w:r>
      <w:proofErr w:type="gramStart"/>
      <w:r>
        <w:t>) ;</w:t>
      </w:r>
      <w:proofErr w:type="gramEnd"/>
    </w:p>
    <w:p w14:paraId="44C03D20" w14:textId="77777777" w:rsidR="00037999" w:rsidRDefault="00037999" w:rsidP="00037999">
      <w:pPr>
        <w:pStyle w:val="B2"/>
      </w:pPr>
      <w:r>
        <w:t>-</w:t>
      </w:r>
      <w:r>
        <w:tab/>
      </w:r>
      <w:r>
        <w:rPr>
          <w:b/>
        </w:rPr>
        <w:t>OM</w:t>
      </w:r>
      <w:r>
        <w:t xml:space="preserve"> (Object Mapping).</w:t>
      </w:r>
    </w:p>
    <w:p w14:paraId="1DF5DAC1" w14:textId="77777777" w:rsidR="00037999" w:rsidRDefault="00037999" w:rsidP="00037999">
      <w:pPr>
        <w:pStyle w:val="B1"/>
        <w:rPr>
          <w:b/>
        </w:rPr>
      </w:pPr>
      <w:r>
        <w:rPr>
          <w:b/>
        </w:rPr>
        <w:t>c)</w:t>
      </w:r>
      <w:r>
        <w:rPr>
          <w:b/>
        </w:rPr>
        <w:tab/>
        <w:t>Condition</w:t>
      </w:r>
    </w:p>
    <w:p w14:paraId="7BD5E7B1" w14:textId="77777777" w:rsidR="00037999" w:rsidRDefault="00037999" w:rsidP="00037999">
      <w:pPr>
        <w:pStyle w:val="B1"/>
      </w:pPr>
      <w:r>
        <w:tab/>
        <w:t>This subclause contains the condition which causes the measurement result data to be updated;</w:t>
      </w:r>
      <w:r>
        <w:br/>
        <w:t xml:space="preserve">This will be defined by identifying protocol related trigger events for starting and stopping measurement </w:t>
      </w:r>
      <w:proofErr w:type="gramStart"/>
      <w:r>
        <w:t>processes, or</w:t>
      </w:r>
      <w:proofErr w:type="gramEnd"/>
      <w:r>
        <w:t xml:space="preserve"> updating the current measurement result value. Where it is not possible to give a precise condition, then the conditional circumstances leading to the update are stated.</w:t>
      </w:r>
    </w:p>
    <w:p w14:paraId="58265960" w14:textId="77777777" w:rsidR="00037999" w:rsidRDefault="00037999" w:rsidP="00037999">
      <w:pPr>
        <w:pStyle w:val="B1"/>
        <w:rPr>
          <w:lang w:eastAsia="zh-CN"/>
        </w:rPr>
      </w:pPr>
      <w:r>
        <w:tab/>
        <w:t>If a measurement is not available for FDD or TDD, then the measurement description shall contain a statement.</w:t>
      </w:r>
    </w:p>
    <w:p w14:paraId="523F9D41" w14:textId="77777777" w:rsidR="00037999" w:rsidRDefault="00037999" w:rsidP="00037999">
      <w:pPr>
        <w:pStyle w:val="B1"/>
        <w:ind w:leftChars="284" w:firstLine="0"/>
        <w:rPr>
          <w:lang w:eastAsia="zh-CN"/>
        </w:rPr>
      </w:pPr>
      <w:r>
        <w:t xml:space="preserve">If a measurement </w:t>
      </w:r>
      <w:r>
        <w:rPr>
          <w:lang w:eastAsia="zh-CN"/>
        </w:rPr>
        <w:t xml:space="preserve">is </w:t>
      </w:r>
      <w:r>
        <w:t xml:space="preserve">related to “external” technologies, this </w:t>
      </w:r>
      <w:r>
        <w:rPr>
          <w:lang w:eastAsia="zh-CN"/>
        </w:rPr>
        <w:t>subclause shall</w:t>
      </w:r>
      <w:r>
        <w:t xml:space="preserve"> give a brief </w:t>
      </w:r>
      <w:r>
        <w:rPr>
          <w:lang w:eastAsia="zh-CN"/>
        </w:rPr>
        <w:t>reference to other standard bodies.</w:t>
      </w:r>
    </w:p>
    <w:p w14:paraId="6D80973C" w14:textId="77777777" w:rsidR="00037999" w:rsidRDefault="00037999" w:rsidP="00037999">
      <w:pPr>
        <w:pStyle w:val="B1"/>
        <w:rPr>
          <w:b/>
          <w:lang w:eastAsia="en-GB"/>
        </w:rPr>
      </w:pPr>
      <w:r>
        <w:rPr>
          <w:b/>
        </w:rPr>
        <w:t>d)</w:t>
      </w:r>
      <w:r>
        <w:rPr>
          <w:b/>
        </w:rPr>
        <w:tab/>
        <w:t>Measurement Result (measured value(s), Units)</w:t>
      </w:r>
    </w:p>
    <w:p w14:paraId="7936C3B7" w14:textId="77777777" w:rsidR="00037999" w:rsidRDefault="00037999" w:rsidP="00037999">
      <w:pPr>
        <w:pStyle w:val="B1"/>
        <w:rPr>
          <w:lang w:eastAsia="zh-CN"/>
        </w:rPr>
      </w:pPr>
      <w:r>
        <w:tab/>
        <w:t>This subclause contains a description of expected result value(s) (e.g. a single integer value).</w:t>
      </w:r>
      <w:r>
        <w:rPr>
          <w:lang w:eastAsia="zh-CN"/>
        </w:rPr>
        <w:t xml:space="preserve"> </w:t>
      </w:r>
      <w:r>
        <w:t xml:space="preserve">If a measurement </w:t>
      </w:r>
      <w:r>
        <w:rPr>
          <w:lang w:eastAsia="zh-CN"/>
        </w:rPr>
        <w:t xml:space="preserve">is </w:t>
      </w:r>
      <w:r>
        <w:t>related to “external” technologies,</w:t>
      </w:r>
      <w:r>
        <w:rPr>
          <w:lang w:eastAsia="zh-CN"/>
        </w:rPr>
        <w:t xml:space="preserve"> </w:t>
      </w:r>
      <w:r>
        <w:t xml:space="preserve">this </w:t>
      </w:r>
      <w:r>
        <w:rPr>
          <w:lang w:eastAsia="zh-CN"/>
        </w:rPr>
        <w:t>subclause shall</w:t>
      </w:r>
      <w:r>
        <w:t xml:space="preserve"> </w:t>
      </w:r>
      <w:r>
        <w:rPr>
          <w:lang w:eastAsia="zh-CN"/>
        </w:rPr>
        <w:t xml:space="preserve">also </w:t>
      </w:r>
      <w:r>
        <w:t xml:space="preserve">give a brief </w:t>
      </w:r>
      <w:r>
        <w:rPr>
          <w:lang w:eastAsia="zh-CN"/>
        </w:rPr>
        <w:t>reference to other standard bodies.</w:t>
      </w:r>
    </w:p>
    <w:p w14:paraId="44FF4B7A" w14:textId="77777777" w:rsidR="00037999" w:rsidRDefault="00037999" w:rsidP="00037999">
      <w:pPr>
        <w:pStyle w:val="B1"/>
        <w:rPr>
          <w:lang w:eastAsia="en-GB"/>
        </w:rPr>
      </w:pPr>
      <w:r>
        <w:tab/>
        <w:t>The definition applies for each measurement result.</w:t>
      </w:r>
    </w:p>
    <w:p w14:paraId="10FF54E0" w14:textId="77777777" w:rsidR="00037999" w:rsidRDefault="00037999" w:rsidP="00037999">
      <w:pPr>
        <w:pStyle w:val="B1"/>
        <w:rPr>
          <w:b/>
        </w:rPr>
      </w:pPr>
      <w:r>
        <w:rPr>
          <w:b/>
        </w:rPr>
        <w:t>e)</w:t>
      </w:r>
      <w:r>
        <w:rPr>
          <w:b/>
        </w:rPr>
        <w:tab/>
        <w:t>Measurement Type</w:t>
      </w:r>
    </w:p>
    <w:p w14:paraId="2E67C8C7" w14:textId="77777777" w:rsidR="00037999" w:rsidRDefault="00037999" w:rsidP="00037999">
      <w:pPr>
        <w:pStyle w:val="B1"/>
      </w:pPr>
      <w:r>
        <w:tab/>
        <w:t>This subclause contains a short form of the measurement name specified in the header, which is used to identify the measurement type in the result files.</w:t>
      </w:r>
    </w:p>
    <w:p w14:paraId="5E8E44FF" w14:textId="77777777" w:rsidR="00037999" w:rsidRDefault="00037999" w:rsidP="00037999">
      <w:pPr>
        <w:pStyle w:val="B1"/>
      </w:pPr>
      <w:r>
        <w:tab/>
        <w:t xml:space="preserve">The measurement names are dotted sequences of items. The sequence of elements identifying a measurement is organised from the general to </w:t>
      </w:r>
      <w:proofErr w:type="gramStart"/>
      <w:r>
        <w:t>the particular</w:t>
      </w:r>
      <w:proofErr w:type="gramEnd"/>
      <w:r>
        <w:t>.</w:t>
      </w:r>
    </w:p>
    <w:p w14:paraId="12F9C826" w14:textId="77777777" w:rsidR="00037999" w:rsidRDefault="00037999" w:rsidP="00037999">
      <w:pPr>
        <w:pStyle w:val="B2"/>
      </w:pPr>
      <w:r>
        <w:t>-</w:t>
      </w:r>
      <w:r>
        <w:tab/>
        <w:t>The first item identifies the measurement family (e.g. HHO, RAB, SMS). Note that this family may also be used for measurement administration purpose.</w:t>
      </w:r>
    </w:p>
    <w:p w14:paraId="138027A9" w14:textId="77777777" w:rsidR="00037999" w:rsidRDefault="00037999" w:rsidP="00037999">
      <w:pPr>
        <w:pStyle w:val="B2"/>
      </w:pPr>
      <w:r>
        <w:t>-</w:t>
      </w:r>
      <w:r>
        <w:tab/>
        <w:t>The second item identifies the name of the measurement itself, for which the following rules shall apply:</w:t>
      </w:r>
    </w:p>
    <w:p w14:paraId="367E274E" w14:textId="77777777" w:rsidR="00037999" w:rsidRDefault="00037999" w:rsidP="00037999">
      <w:pPr>
        <w:pStyle w:val="B2"/>
        <w:numPr>
          <w:ilvl w:val="0"/>
          <w:numId w:val="5"/>
        </w:numPr>
        <w:autoSpaceDN w:val="0"/>
      </w:pPr>
      <w:r>
        <w:t xml:space="preserve">The second item of the measurement name can be divided </w:t>
      </w:r>
      <w:proofErr w:type="gramStart"/>
      <w:r>
        <w:t>into  &lt;</w:t>
      </w:r>
      <w:proofErr w:type="gramEnd"/>
      <w:r>
        <w:t>Operation&gt;, &lt;Reason/Result&gt; and &lt;Direction&gt; (and in that order)</w:t>
      </w:r>
    </w:p>
    <w:p w14:paraId="20B6BBEC" w14:textId="77777777" w:rsidR="00037999" w:rsidRDefault="00037999" w:rsidP="00037999">
      <w:pPr>
        <w:pStyle w:val="B2"/>
        <w:numPr>
          <w:ilvl w:val="0"/>
          <w:numId w:val="5"/>
        </w:numPr>
        <w:autoSpaceDN w:val="0"/>
      </w:pPr>
      <w:r>
        <w:t>Examples of Operation can be Establishment, Release, and Modification</w:t>
      </w:r>
    </w:p>
    <w:p w14:paraId="1D540562" w14:textId="77777777" w:rsidR="00037999" w:rsidRDefault="00037999" w:rsidP="00037999">
      <w:pPr>
        <w:pStyle w:val="B2"/>
        <w:numPr>
          <w:ilvl w:val="0"/>
          <w:numId w:val="5"/>
        </w:numPr>
        <w:autoSpaceDN w:val="0"/>
      </w:pPr>
      <w:r>
        <w:t>Examples of Reason/Result can be Attempt, Failure, Success, Throughput and Volume</w:t>
      </w:r>
    </w:p>
    <w:p w14:paraId="3B5F405E" w14:textId="77777777" w:rsidR="00037999" w:rsidRDefault="00037999" w:rsidP="00037999">
      <w:pPr>
        <w:pStyle w:val="B2"/>
        <w:numPr>
          <w:ilvl w:val="0"/>
          <w:numId w:val="5"/>
        </w:numPr>
        <w:autoSpaceDN w:val="0"/>
      </w:pPr>
      <w:r>
        <w:lastRenderedPageBreak/>
        <w:t>Examples of Direction can be Incoming, Outgoing, Uplink and Downlink</w:t>
      </w:r>
    </w:p>
    <w:p w14:paraId="50351FBA" w14:textId="77777777" w:rsidR="00037999" w:rsidRDefault="00037999" w:rsidP="00037999">
      <w:pPr>
        <w:pStyle w:val="B2"/>
      </w:pPr>
      <w:r>
        <w:t>-</w:t>
      </w:r>
      <w:r>
        <w:tab/>
        <w:t xml:space="preserve">Depending on the measurement type, additional items may be present to specify </w:t>
      </w:r>
      <w:proofErr w:type="spellStart"/>
      <w:r>
        <w:t>subcounters</w:t>
      </w:r>
      <w:proofErr w:type="spellEnd"/>
      <w:r>
        <w:t xml:space="preserve"> (failure causes, traffic classes, min, max, </w:t>
      </w:r>
      <w:proofErr w:type="spellStart"/>
      <w:r>
        <w:t>avg</w:t>
      </w:r>
      <w:proofErr w:type="spellEnd"/>
      <w:r>
        <w:t xml:space="preserve">, G, U ...). In case of multiple additional items, they are also represented as a dotted sequence of items. When available, the template will describe to which standard it is referring to for these additional items (e.g. cause, traffic class). Otherwise, the additional item semantics must be described in </w:t>
      </w:r>
      <w:proofErr w:type="gramStart"/>
      <w:r>
        <w:t>details</w:t>
      </w:r>
      <w:proofErr w:type="gramEnd"/>
      <w:r>
        <w:t xml:space="preserve"> in the present document. </w:t>
      </w:r>
    </w:p>
    <w:p w14:paraId="210F0AA6" w14:textId="77777777" w:rsidR="00037999" w:rsidRDefault="00037999" w:rsidP="00037999">
      <w:pPr>
        <w:pStyle w:val="B2"/>
        <w:rPr>
          <w:lang w:eastAsia="zh-CN"/>
        </w:rPr>
      </w:pPr>
      <w:r>
        <w:tab/>
        <w:t>Standardised causes will be a number.</w:t>
      </w:r>
      <w:r>
        <w:rPr>
          <w:lang w:eastAsia="zh-CN"/>
        </w:rPr>
        <w:t xml:space="preserve">  This number shall be derived according to which of the following rules applies:</w:t>
      </w:r>
    </w:p>
    <w:p w14:paraId="5918413E" w14:textId="77777777" w:rsidR="00037999" w:rsidRDefault="00037999" w:rsidP="00037999">
      <w:pPr>
        <w:pStyle w:val="B2"/>
        <w:numPr>
          <w:ilvl w:val="0"/>
          <w:numId w:val="6"/>
        </w:numPr>
        <w:autoSpaceDN w:val="0"/>
        <w:rPr>
          <w:lang w:eastAsia="zh-CN"/>
        </w:rPr>
      </w:pPr>
      <w:r>
        <w:rPr>
          <w:lang w:eastAsia="zh-CN"/>
        </w:rPr>
        <w:t xml:space="preserve">For the standardised causes with numeric values explicitly specified in the reference </w:t>
      </w:r>
      <w:proofErr w:type="spellStart"/>
      <w:r>
        <w:rPr>
          <w:lang w:eastAsia="zh-CN"/>
        </w:rPr>
        <w:t>spefication</w:t>
      </w:r>
      <w:proofErr w:type="spellEnd"/>
      <w:r>
        <w:rPr>
          <w:lang w:eastAsia="zh-CN"/>
        </w:rPr>
        <w:t xml:space="preserve">, the </w:t>
      </w:r>
      <w:proofErr w:type="spellStart"/>
      <w:r>
        <w:rPr>
          <w:lang w:eastAsia="zh-CN"/>
        </w:rPr>
        <w:t>subcounter</w:t>
      </w:r>
      <w:proofErr w:type="spellEnd"/>
      <w:r>
        <w:rPr>
          <w:lang w:eastAsia="zh-CN"/>
        </w:rPr>
        <w:t xml:space="preserve"> name will be the number assigned to this cause in this reference specification. </w:t>
      </w:r>
    </w:p>
    <w:p w14:paraId="128BD78B" w14:textId="77777777" w:rsidR="00037999" w:rsidRDefault="00037999" w:rsidP="00037999">
      <w:pPr>
        <w:pStyle w:val="B2"/>
        <w:numPr>
          <w:ilvl w:val="0"/>
          <w:numId w:val="6"/>
        </w:numPr>
        <w:autoSpaceDN w:val="0"/>
        <w:rPr>
          <w:lang w:eastAsia="zh-CN"/>
        </w:rPr>
      </w:pPr>
      <w:r>
        <w:rPr>
          <w:lang w:eastAsia="zh-CN"/>
        </w:rPr>
        <w:t xml:space="preserve">For the standardised causes without numeric values explicitly specified in the reference </w:t>
      </w:r>
      <w:proofErr w:type="spellStart"/>
      <w:r>
        <w:rPr>
          <w:lang w:eastAsia="zh-CN"/>
        </w:rPr>
        <w:t>spefication</w:t>
      </w:r>
      <w:proofErr w:type="spellEnd"/>
      <w:r>
        <w:rPr>
          <w:lang w:eastAsia="zh-CN"/>
        </w:rPr>
        <w:t xml:space="preserve">, but where the causes are identified, the </w:t>
      </w:r>
      <w:proofErr w:type="spellStart"/>
      <w:r>
        <w:rPr>
          <w:lang w:eastAsia="zh-CN"/>
        </w:rPr>
        <w:t>subcounter</w:t>
      </w:r>
      <w:proofErr w:type="spellEnd"/>
      <w:r>
        <w:rPr>
          <w:lang w:eastAsia="zh-CN"/>
        </w:rPr>
        <w:t xml:space="preserve"> name shall be an number from 1 to n mapped in an incremental sequence to each of the specified causes following top down sequence in the order they are identified in the reference specification</w:t>
      </w:r>
      <w:r>
        <w:t xml:space="preserve"> (e.g. RRC.ConnEstab.1</w:t>
      </w:r>
      <w:r>
        <w:rPr>
          <w:lang w:eastAsia="zh-CN"/>
        </w:rPr>
        <w:t xml:space="preserve">, 1 </w:t>
      </w:r>
      <w:proofErr w:type="spellStart"/>
      <w:r>
        <w:rPr>
          <w:lang w:eastAsia="zh-CN"/>
        </w:rPr>
        <w:t>idenfies</w:t>
      </w:r>
      <w:proofErr w:type="spellEnd"/>
      <w:r>
        <w:rPr>
          <w:lang w:eastAsia="zh-CN"/>
        </w:rPr>
        <w:t xml:space="preserve"> the establishment </w:t>
      </w:r>
      <w:proofErr w:type="spellStart"/>
      <w:r>
        <w:rPr>
          <w:lang w:eastAsia="zh-CN"/>
        </w:rPr>
        <w:t>cause</w:t>
      </w:r>
      <w:proofErr w:type="spellEnd"/>
      <w:r>
        <w:rPr>
          <w:lang w:eastAsia="zh-CN"/>
        </w:rPr>
        <w:t xml:space="preserve"> “Originating Conversational Call”, see TS 25.331);</w:t>
      </w:r>
    </w:p>
    <w:p w14:paraId="19D8B82E" w14:textId="77777777" w:rsidR="00037999" w:rsidRDefault="00037999" w:rsidP="00037999">
      <w:pPr>
        <w:pStyle w:val="B2"/>
        <w:numPr>
          <w:ilvl w:val="0"/>
          <w:numId w:val="6"/>
        </w:numPr>
        <w:autoSpaceDN w:val="0"/>
        <w:rPr>
          <w:lang w:eastAsia="en-GB"/>
        </w:rPr>
      </w:pPr>
      <w:r>
        <w:rPr>
          <w:lang w:eastAsia="zh-CN"/>
        </w:rPr>
        <w:t xml:space="preserve">For the standardised causes without numeric values explicitly specified in the reference </w:t>
      </w:r>
      <w:proofErr w:type="spellStart"/>
      <w:r>
        <w:rPr>
          <w:lang w:eastAsia="zh-CN"/>
        </w:rPr>
        <w:t>spefication</w:t>
      </w:r>
      <w:proofErr w:type="spellEnd"/>
      <w:r>
        <w:rPr>
          <w:lang w:eastAsia="zh-CN"/>
        </w:rPr>
        <w:t xml:space="preserve"> and the causes identified and the causes have been divided into different cause groups, the </w:t>
      </w:r>
      <w:proofErr w:type="spellStart"/>
      <w:r>
        <w:rPr>
          <w:lang w:eastAsia="zh-CN"/>
        </w:rPr>
        <w:t>subcounter</w:t>
      </w:r>
      <w:proofErr w:type="spellEnd"/>
      <w:r>
        <w:rPr>
          <w:lang w:eastAsia="zh-CN"/>
        </w:rPr>
        <w:t xml:space="preserve"> should be defined as the form of </w:t>
      </w:r>
      <w:proofErr w:type="spellStart"/>
      <w:r>
        <w:rPr>
          <w:i/>
          <w:lang w:eastAsia="zh-CN"/>
        </w:rPr>
        <w:t>‘Cause</w:t>
      </w:r>
      <w:proofErr w:type="spellEnd"/>
      <w:r>
        <w:rPr>
          <w:i/>
          <w:lang w:eastAsia="zh-CN"/>
        </w:rPr>
        <w:t xml:space="preserve"> </w:t>
      </w:r>
      <w:proofErr w:type="spellStart"/>
      <w:r>
        <w:rPr>
          <w:i/>
          <w:lang w:eastAsia="zh-CN"/>
        </w:rPr>
        <w:t>group</w:t>
      </w:r>
      <w:proofErr w:type="gramStart"/>
      <w:r>
        <w:rPr>
          <w:i/>
          <w:lang w:eastAsia="zh-CN"/>
        </w:rPr>
        <w:t>’.Cause</w:t>
      </w:r>
      <w:proofErr w:type="spellEnd"/>
      <w:proofErr w:type="gramEnd"/>
      <w:r>
        <w:rPr>
          <w:lang w:eastAsia="zh-CN"/>
        </w:rPr>
        <w:t xml:space="preserve">, where: </w:t>
      </w:r>
    </w:p>
    <w:p w14:paraId="2A1E7788" w14:textId="77777777" w:rsidR="00037999" w:rsidRDefault="00037999" w:rsidP="00037999">
      <w:pPr>
        <w:pStyle w:val="B2"/>
        <w:numPr>
          <w:ilvl w:val="1"/>
          <w:numId w:val="6"/>
        </w:numPr>
        <w:autoSpaceDN w:val="0"/>
      </w:pPr>
      <w:r>
        <w:rPr>
          <w:lang w:eastAsia="zh-CN"/>
        </w:rPr>
        <w:t xml:space="preserve">the </w:t>
      </w:r>
      <w:proofErr w:type="spellStart"/>
      <w:r>
        <w:rPr>
          <w:lang w:eastAsia="zh-CN"/>
        </w:rPr>
        <w:t>subcounter</w:t>
      </w:r>
      <w:proofErr w:type="spellEnd"/>
      <w:r>
        <w:rPr>
          <w:lang w:eastAsia="zh-CN"/>
        </w:rPr>
        <w:t xml:space="preserve"> name of </w:t>
      </w:r>
      <w:proofErr w:type="spellStart"/>
      <w:r>
        <w:rPr>
          <w:i/>
          <w:lang w:eastAsia="zh-CN"/>
        </w:rPr>
        <w:t>‘Cause</w:t>
      </w:r>
      <w:proofErr w:type="spellEnd"/>
      <w:r>
        <w:rPr>
          <w:i/>
          <w:lang w:eastAsia="zh-CN"/>
        </w:rPr>
        <w:t xml:space="preserve"> group’</w:t>
      </w:r>
      <w:r>
        <w:rPr>
          <w:lang w:eastAsia="zh-CN"/>
        </w:rPr>
        <w:t xml:space="preserve"> shall be an incremental number from 1 to n to identify each cause group specified in a </w:t>
      </w:r>
      <w:proofErr w:type="gramStart"/>
      <w:r>
        <w:rPr>
          <w:lang w:eastAsia="zh-CN"/>
        </w:rPr>
        <w:t>top down</w:t>
      </w:r>
      <w:proofErr w:type="gramEnd"/>
      <w:r>
        <w:rPr>
          <w:lang w:eastAsia="zh-CN"/>
        </w:rPr>
        <w:t xml:space="preserve"> sequence following the order they are identified in the reference specification,</w:t>
      </w:r>
    </w:p>
    <w:p w14:paraId="6DDC666F" w14:textId="77777777" w:rsidR="00037999" w:rsidRDefault="00037999" w:rsidP="00037999">
      <w:pPr>
        <w:pStyle w:val="B2"/>
        <w:numPr>
          <w:ilvl w:val="1"/>
          <w:numId w:val="6"/>
        </w:numPr>
        <w:autoSpaceDN w:val="0"/>
      </w:pPr>
      <w:r>
        <w:rPr>
          <w:lang w:eastAsia="zh-CN"/>
        </w:rPr>
        <w:t xml:space="preserve">the </w:t>
      </w:r>
      <w:proofErr w:type="spellStart"/>
      <w:r>
        <w:rPr>
          <w:lang w:eastAsia="zh-CN"/>
        </w:rPr>
        <w:t>subcounter</w:t>
      </w:r>
      <w:proofErr w:type="spellEnd"/>
      <w:r>
        <w:rPr>
          <w:lang w:eastAsia="zh-CN"/>
        </w:rPr>
        <w:t xml:space="preserve"> name of </w:t>
      </w:r>
      <w:r>
        <w:rPr>
          <w:i/>
          <w:lang w:eastAsia="zh-CN"/>
        </w:rPr>
        <w:t>cause</w:t>
      </w:r>
      <w:r>
        <w:rPr>
          <w:lang w:eastAsia="zh-CN"/>
        </w:rPr>
        <w:t xml:space="preserve"> within this cause group shall be an incremental number from 1 to n to identify each cause within the group specified in a </w:t>
      </w:r>
      <w:proofErr w:type="gramStart"/>
      <w:r>
        <w:rPr>
          <w:lang w:eastAsia="zh-CN"/>
        </w:rPr>
        <w:t>top down</w:t>
      </w:r>
      <w:proofErr w:type="gramEnd"/>
      <w:r>
        <w:rPr>
          <w:lang w:eastAsia="zh-CN"/>
        </w:rPr>
        <w:t xml:space="preserve"> sequence following the order they are identified within the cause group in the reference specification (e.g. </w:t>
      </w:r>
      <w:r>
        <w:t>RLM.FailRL</w:t>
      </w:r>
      <w:r>
        <w:rPr>
          <w:lang w:eastAsia="zh-CN"/>
        </w:rPr>
        <w:t>SetupIub</w:t>
      </w:r>
      <w:r>
        <w:t>.</w:t>
      </w:r>
      <w:r>
        <w:rPr>
          <w:lang w:eastAsia="zh-CN"/>
        </w:rPr>
        <w:t xml:space="preserve">2.1, 2.1 </w:t>
      </w:r>
      <w:proofErr w:type="spellStart"/>
      <w:r>
        <w:rPr>
          <w:lang w:eastAsia="zh-CN"/>
        </w:rPr>
        <w:t>indenfies</w:t>
      </w:r>
      <w:proofErr w:type="spellEnd"/>
      <w:r>
        <w:rPr>
          <w:lang w:eastAsia="zh-CN"/>
        </w:rPr>
        <w:t xml:space="preserve"> the cause “</w:t>
      </w:r>
      <w:r>
        <w:t>Transport resource unavailable</w:t>
      </w:r>
      <w:r>
        <w:rPr>
          <w:lang w:eastAsia="zh-CN"/>
        </w:rPr>
        <w:t>” in the cause group “</w:t>
      </w:r>
      <w:r>
        <w:t>Transport Layer Cause</w:t>
      </w:r>
      <w:r>
        <w:rPr>
          <w:lang w:eastAsia="zh-CN"/>
        </w:rPr>
        <w:t xml:space="preserve">”, see TS 25.433). </w:t>
      </w:r>
      <w:proofErr w:type="spellStart"/>
      <w:r>
        <w:rPr>
          <w:lang w:eastAsia="zh-CN"/>
        </w:rPr>
        <w:t>Subcounter</w:t>
      </w:r>
      <w:proofErr w:type="spellEnd"/>
      <w:r>
        <w:rPr>
          <w:lang w:eastAsia="zh-CN"/>
        </w:rPr>
        <w:t xml:space="preserve"> </w:t>
      </w:r>
      <w:proofErr w:type="spellStart"/>
      <w:r>
        <w:rPr>
          <w:i/>
          <w:lang w:eastAsia="zh-CN"/>
        </w:rPr>
        <w:t>‘Cause</w:t>
      </w:r>
      <w:proofErr w:type="spellEnd"/>
      <w:r>
        <w:rPr>
          <w:i/>
          <w:lang w:eastAsia="zh-CN"/>
        </w:rPr>
        <w:t xml:space="preserve"> </w:t>
      </w:r>
      <w:proofErr w:type="spellStart"/>
      <w:r>
        <w:rPr>
          <w:i/>
          <w:lang w:eastAsia="zh-CN"/>
        </w:rPr>
        <w:t>group</w:t>
      </w:r>
      <w:proofErr w:type="gramStart"/>
      <w:r>
        <w:rPr>
          <w:i/>
          <w:lang w:eastAsia="zh-CN"/>
        </w:rPr>
        <w:t>’.sum</w:t>
      </w:r>
      <w:proofErr w:type="spellEnd"/>
      <w:proofErr w:type="gramEnd"/>
      <w:r>
        <w:rPr>
          <w:i/>
          <w:lang w:eastAsia="zh-CN"/>
        </w:rPr>
        <w:t xml:space="preserve"> </w:t>
      </w:r>
      <w:r>
        <w:rPr>
          <w:lang w:eastAsia="zh-CN"/>
        </w:rPr>
        <w:t xml:space="preserve">is permitted to </w:t>
      </w:r>
      <w:proofErr w:type="spellStart"/>
      <w:r>
        <w:rPr>
          <w:lang w:eastAsia="zh-CN"/>
        </w:rPr>
        <w:t>indentify</w:t>
      </w:r>
      <w:proofErr w:type="spellEnd"/>
      <w:r>
        <w:rPr>
          <w:lang w:eastAsia="zh-CN"/>
        </w:rPr>
        <w:t xml:space="preserve"> the aggregate of measurement values of all the causes within the cause group (e.g. </w:t>
      </w:r>
      <w:r>
        <w:t>RLM.FailRL</w:t>
      </w:r>
      <w:r>
        <w:rPr>
          <w:lang w:eastAsia="zh-CN"/>
        </w:rPr>
        <w:t>SetupIub</w:t>
      </w:r>
      <w:r>
        <w:t>.</w:t>
      </w:r>
      <w:r>
        <w:rPr>
          <w:lang w:eastAsia="zh-CN"/>
        </w:rPr>
        <w:t>1.sum, 1.sum identifies the aggregate of all the causes within the cause group “</w:t>
      </w:r>
      <w:r>
        <w:t>Radio Network Layer Cause</w:t>
      </w:r>
      <w:r>
        <w:rPr>
          <w:lang w:eastAsia="zh-CN"/>
        </w:rPr>
        <w:t xml:space="preserve">”, see TS 25.433). </w:t>
      </w:r>
    </w:p>
    <w:p w14:paraId="3B529BD9" w14:textId="77777777" w:rsidR="00037999" w:rsidRDefault="00037999" w:rsidP="00037999">
      <w:pPr>
        <w:pStyle w:val="B1"/>
        <w:ind w:left="852"/>
      </w:pPr>
      <w:r>
        <w:rPr>
          <w:lang w:eastAsia="zh-CN"/>
        </w:rPr>
        <w:tab/>
        <w:t>The</w:t>
      </w:r>
      <w:r>
        <w:t xml:space="preserve"> non standardised causes should be a string (e.g. </w:t>
      </w:r>
      <w:proofErr w:type="spellStart"/>
      <w:proofErr w:type="gramStart"/>
      <w:r>
        <w:t>RRC.ConnEstab.NoReply</w:t>
      </w:r>
      <w:proofErr w:type="spellEnd"/>
      <w:proofErr w:type="gramEnd"/>
      <w:r>
        <w:t>).</w:t>
      </w:r>
    </w:p>
    <w:p w14:paraId="6B31A07B" w14:textId="77777777" w:rsidR="00037999" w:rsidRDefault="00037999" w:rsidP="00037999">
      <w:pPr>
        <w:pStyle w:val="B1"/>
      </w:pPr>
      <w:r>
        <w:tab/>
        <w:t xml:space="preserve">The set of values issued for a measurement does not depend on the associated collection method (CC, SI, Gauge, DER, TF). For instance, a gauge collected counter does not necessarily provide min, max, average values. </w:t>
      </w:r>
    </w:p>
    <w:p w14:paraId="46C27520" w14:textId="17E32B04" w:rsidR="001A49D6" w:rsidRDefault="00037999" w:rsidP="00037999">
      <w:pPr>
        <w:pStyle w:val="B1"/>
        <w:ind w:left="852"/>
      </w:pPr>
      <w:r>
        <w:t xml:space="preserve">The vendor-specific </w:t>
      </w:r>
      <w:del w:id="3" w:author="Zu Qiang" w:date="2024-07-10T11:23:00Z">
        <w:r w:rsidDel="00957CBB">
          <w:delText xml:space="preserve">UMTS and combined GSM/UMTS </w:delText>
        </w:r>
      </w:del>
      <w:r>
        <w:t xml:space="preserve">measurement names will all begin with the VS prefix. </w:t>
      </w:r>
    </w:p>
    <w:p w14:paraId="4BF91850" w14:textId="77777777" w:rsidR="00037999" w:rsidRDefault="00037999" w:rsidP="00037999">
      <w:pPr>
        <w:pStyle w:val="B1"/>
      </w:pPr>
      <w:r>
        <w:tab/>
        <w:t>In addition, it is recommended that a prefix is added for non-UMTS measurements:</w:t>
      </w:r>
    </w:p>
    <w:p w14:paraId="2E269C04" w14:textId="77777777" w:rsidR="00037999" w:rsidRDefault="00037999" w:rsidP="00037999">
      <w:pPr>
        <w:pStyle w:val="B2"/>
      </w:pPr>
      <w:r>
        <w:t>-</w:t>
      </w:r>
      <w:r>
        <w:tab/>
        <w:t xml:space="preserve">Q3 for Q3 </w:t>
      </w:r>
      <w:proofErr w:type="gramStart"/>
      <w:r>
        <w:t>measurements;</w:t>
      </w:r>
      <w:proofErr w:type="gramEnd"/>
    </w:p>
    <w:p w14:paraId="1A3C0EF6" w14:textId="77777777" w:rsidR="00037999" w:rsidRDefault="00037999" w:rsidP="00037999">
      <w:pPr>
        <w:pStyle w:val="B2"/>
      </w:pPr>
      <w:r>
        <w:t>-</w:t>
      </w:r>
      <w:r>
        <w:tab/>
        <w:t>MIB for IETF measurements (ATM, IP</w:t>
      </w:r>
      <w:proofErr w:type="gramStart"/>
      <w:r>
        <w:t>);</w:t>
      </w:r>
      <w:proofErr w:type="gramEnd"/>
    </w:p>
    <w:p w14:paraId="0D16AE1D" w14:textId="77777777" w:rsidR="00037999" w:rsidRDefault="00037999" w:rsidP="00037999">
      <w:pPr>
        <w:pStyle w:val="B2"/>
      </w:pPr>
      <w:r>
        <w:t>-</w:t>
      </w:r>
      <w:r>
        <w:tab/>
        <w:t>OS for other standards measurements.</w:t>
      </w:r>
    </w:p>
    <w:p w14:paraId="3A225199" w14:textId="77777777" w:rsidR="00037999" w:rsidRDefault="00037999" w:rsidP="00037999">
      <w:pPr>
        <w:ind w:left="567"/>
      </w:pPr>
      <w:r>
        <w:t>The 3GPP standardised measurements name must not commence with the above prefixes.</w:t>
      </w:r>
    </w:p>
    <w:p w14:paraId="51A123DC" w14:textId="77777777" w:rsidR="00037999" w:rsidRDefault="00037999" w:rsidP="00037999">
      <w:pPr>
        <w:ind w:left="567"/>
      </w:pPr>
      <w:r>
        <w:t>Examples of valid measurement names are:</w:t>
      </w:r>
    </w:p>
    <w:p w14:paraId="2DE9A17D" w14:textId="77777777" w:rsidR="00037999" w:rsidRDefault="00037999" w:rsidP="00037999">
      <w:pPr>
        <w:pStyle w:val="B2"/>
        <w:rPr>
          <w:lang w:eastAsia="zh-CN"/>
        </w:rPr>
      </w:pPr>
      <w:r>
        <w:rPr>
          <w:lang w:eastAsia="zh-CN"/>
        </w:rPr>
        <w:t>-</w:t>
      </w:r>
      <w:r>
        <w:rPr>
          <w:lang w:eastAsia="zh-CN"/>
        </w:rPr>
        <w:tab/>
      </w:r>
      <w:proofErr w:type="spellStart"/>
      <w:r>
        <w:rPr>
          <w:lang w:eastAsia="zh-CN"/>
        </w:rPr>
        <w:t>HO.PrepAtt</w:t>
      </w:r>
      <w:proofErr w:type="spellEnd"/>
    </w:p>
    <w:p w14:paraId="76E507D5" w14:textId="77777777" w:rsidR="00037999" w:rsidRDefault="00037999" w:rsidP="00037999">
      <w:pPr>
        <w:pStyle w:val="B2"/>
        <w:rPr>
          <w:lang w:eastAsia="zh-CN"/>
        </w:rPr>
      </w:pPr>
      <w:r>
        <w:rPr>
          <w:lang w:eastAsia="zh-CN"/>
        </w:rPr>
        <w:t>-</w:t>
      </w:r>
      <w:r>
        <w:rPr>
          <w:lang w:eastAsia="zh-CN"/>
        </w:rPr>
        <w:tab/>
      </w:r>
      <w:proofErr w:type="spellStart"/>
      <w:r>
        <w:rPr>
          <w:lang w:eastAsia="zh-CN"/>
        </w:rPr>
        <w:t>SAEB.EstabSucc</w:t>
      </w:r>
      <w:proofErr w:type="spellEnd"/>
    </w:p>
    <w:p w14:paraId="4B6A64E6" w14:textId="77777777" w:rsidR="00037999" w:rsidRDefault="00037999" w:rsidP="00037999">
      <w:pPr>
        <w:ind w:left="851"/>
        <w:rPr>
          <w:lang w:eastAsia="en-GB"/>
        </w:rPr>
      </w:pPr>
      <w:r>
        <w:t>-</w:t>
      </w:r>
      <w:proofErr w:type="gramStart"/>
      <w:r>
        <w:tab/>
      </w:r>
      <w:proofErr w:type="spellStart"/>
      <w:r>
        <w:t>RRC.ConnEstabAtt.</w:t>
      </w:r>
      <w:r>
        <w:rPr>
          <w:i/>
        </w:rPr>
        <w:t>Cause</w:t>
      </w:r>
      <w:proofErr w:type="spellEnd"/>
      <w:proofErr w:type="gramEnd"/>
      <w:r>
        <w:br/>
        <w:t xml:space="preserve">where </w:t>
      </w:r>
      <w:r>
        <w:rPr>
          <w:i/>
        </w:rPr>
        <w:t>Cause</w:t>
      </w:r>
      <w:r>
        <w:t xml:space="preserve"> identifies the failure cause.</w:t>
      </w:r>
    </w:p>
    <w:p w14:paraId="4BADA265" w14:textId="77777777" w:rsidR="00037999" w:rsidRDefault="00037999" w:rsidP="00037999">
      <w:pPr>
        <w:pStyle w:val="B1"/>
      </w:pPr>
      <w:r>
        <w:tab/>
        <w:t>Examples of valid measurement names for measurements defined before version 8.3.0 of the present document are:</w:t>
      </w:r>
    </w:p>
    <w:p w14:paraId="5F3BEA89" w14:textId="77777777" w:rsidR="00037999" w:rsidRDefault="00037999" w:rsidP="00037999">
      <w:pPr>
        <w:pStyle w:val="B2"/>
        <w:rPr>
          <w:lang w:eastAsia="zh-CN"/>
        </w:rPr>
      </w:pPr>
      <w:r>
        <w:t>-</w:t>
      </w:r>
      <w:proofErr w:type="gramStart"/>
      <w:r>
        <w:tab/>
      </w:r>
      <w:proofErr w:type="spellStart"/>
      <w:r>
        <w:t>VS.HO.InterSGSNReject.NoResource</w:t>
      </w:r>
      <w:proofErr w:type="spellEnd"/>
      <w:proofErr w:type="gramEnd"/>
      <w:r>
        <w:t>;</w:t>
      </w:r>
    </w:p>
    <w:p w14:paraId="18A16E8D" w14:textId="77777777" w:rsidR="00037999" w:rsidRDefault="00037999" w:rsidP="00037999">
      <w:pPr>
        <w:pStyle w:val="B2"/>
        <w:rPr>
          <w:lang w:eastAsia="zh-CN"/>
        </w:rPr>
      </w:pPr>
      <w:r>
        <w:rPr>
          <w:lang w:eastAsia="zh-CN"/>
        </w:rPr>
        <w:lastRenderedPageBreak/>
        <w:t>-</w:t>
      </w:r>
      <w:r>
        <w:rPr>
          <w:lang w:eastAsia="zh-CN"/>
        </w:rPr>
        <w:tab/>
        <w:t xml:space="preserve">ATM. </w:t>
      </w:r>
      <w:proofErr w:type="spellStart"/>
      <w:r>
        <w:rPr>
          <w:lang w:eastAsia="zh-CN"/>
        </w:rPr>
        <w:t>ATML.</w:t>
      </w:r>
      <w:proofErr w:type="gramStart"/>
      <w:r>
        <w:rPr>
          <w:lang w:eastAsia="zh-CN"/>
        </w:rPr>
        <w:t>IngressCells</w:t>
      </w:r>
      <w:proofErr w:type="spellEnd"/>
      <w:r>
        <w:rPr>
          <w:lang w:eastAsia="zh-CN"/>
        </w:rPr>
        <w:t>;</w:t>
      </w:r>
      <w:proofErr w:type="gramEnd"/>
    </w:p>
    <w:p w14:paraId="041AD677" w14:textId="77777777" w:rsidR="00037999" w:rsidRDefault="00037999" w:rsidP="00037999">
      <w:pPr>
        <w:pStyle w:val="B2"/>
        <w:rPr>
          <w:lang w:eastAsia="en-GB"/>
        </w:rPr>
      </w:pPr>
      <w:r>
        <w:t>-</w:t>
      </w:r>
      <w:r>
        <w:tab/>
      </w:r>
      <w:proofErr w:type="spellStart"/>
      <w:r>
        <w:t>HHO.</w:t>
      </w:r>
      <w:proofErr w:type="gramStart"/>
      <w:r>
        <w:t>SuccOutIntraCell</w:t>
      </w:r>
      <w:proofErr w:type="spellEnd"/>
      <w:r>
        <w:t>;</w:t>
      </w:r>
      <w:proofErr w:type="gramEnd"/>
    </w:p>
    <w:p w14:paraId="14A25266" w14:textId="77777777" w:rsidR="00037999" w:rsidRDefault="00037999" w:rsidP="00037999">
      <w:pPr>
        <w:pStyle w:val="B2"/>
      </w:pPr>
      <w:r>
        <w:t>-</w:t>
      </w:r>
      <w:proofErr w:type="gramStart"/>
      <w:r>
        <w:tab/>
      </w:r>
      <w:proofErr w:type="spellStart"/>
      <w:r>
        <w:t>MM.AttachedSubs.Max</w:t>
      </w:r>
      <w:proofErr w:type="spellEnd"/>
      <w:proofErr w:type="gramEnd"/>
      <w:r>
        <w:t>;</w:t>
      </w:r>
    </w:p>
    <w:p w14:paraId="323FCB41" w14:textId="77777777" w:rsidR="00037999" w:rsidRDefault="00037999" w:rsidP="00037999">
      <w:pPr>
        <w:pStyle w:val="B2"/>
      </w:pPr>
      <w:r>
        <w:t>-</w:t>
      </w:r>
      <w:proofErr w:type="gramStart"/>
      <w:r>
        <w:tab/>
      </w:r>
      <w:proofErr w:type="spellStart"/>
      <w:r>
        <w:t>RAB.EstabAttCS.Conversational</w:t>
      </w:r>
      <w:proofErr w:type="spellEnd"/>
      <w:proofErr w:type="gramEnd"/>
      <w:r>
        <w:t>;</w:t>
      </w:r>
    </w:p>
    <w:p w14:paraId="546538EE" w14:textId="77777777" w:rsidR="00037999" w:rsidRDefault="00037999" w:rsidP="00037999">
      <w:pPr>
        <w:pStyle w:val="B2"/>
      </w:pPr>
      <w:r>
        <w:t>-</w:t>
      </w:r>
      <w:proofErr w:type="gramStart"/>
      <w:r>
        <w:tab/>
      </w:r>
      <w:proofErr w:type="spellStart"/>
      <w:r>
        <w:t>RRC.ConnEstab.</w:t>
      </w:r>
      <w:r>
        <w:rPr>
          <w:i/>
        </w:rPr>
        <w:t>Cause</w:t>
      </w:r>
      <w:proofErr w:type="spellEnd"/>
      <w:proofErr w:type="gramEnd"/>
      <w:r>
        <w:br/>
        <w:t xml:space="preserve">where </w:t>
      </w:r>
      <w:r>
        <w:rPr>
          <w:i/>
        </w:rPr>
        <w:t>Cause</w:t>
      </w:r>
      <w:r>
        <w:t xml:space="preserve"> identifies the failure cause.</w:t>
      </w:r>
    </w:p>
    <w:p w14:paraId="4A45E4C4" w14:textId="77777777" w:rsidR="00037999" w:rsidRDefault="00037999" w:rsidP="00037999">
      <w:pPr>
        <w:pStyle w:val="B1"/>
      </w:pPr>
      <w:r>
        <w:tab/>
        <w:t>Abbreviations to be used within measurement types can be found in subclause 3.2 of the present document.</w:t>
      </w:r>
    </w:p>
    <w:p w14:paraId="76661907" w14:textId="77777777" w:rsidR="00037999" w:rsidRDefault="00037999" w:rsidP="00037999">
      <w:pPr>
        <w:pStyle w:val="B1"/>
        <w:keepNext/>
        <w:keepLines/>
        <w:rPr>
          <w:b/>
        </w:rPr>
      </w:pPr>
      <w:r>
        <w:rPr>
          <w:b/>
        </w:rPr>
        <w:t>f)</w:t>
      </w:r>
      <w:r>
        <w:rPr>
          <w:b/>
        </w:rPr>
        <w:tab/>
        <w:t>Measurement Object Class</w:t>
      </w:r>
    </w:p>
    <w:p w14:paraId="45DB1BFA" w14:textId="77777777" w:rsidR="00037999" w:rsidRDefault="00037999" w:rsidP="00037999">
      <w:pPr>
        <w:pStyle w:val="B1"/>
        <w:keepNext/>
        <w:keepLines/>
      </w:pPr>
      <w:r>
        <w:tab/>
        <w:t xml:space="preserve">This subclause describes the measured object class (e.g. </w:t>
      </w:r>
      <w:proofErr w:type="spellStart"/>
      <w:r>
        <w:t>UtranCell</w:t>
      </w:r>
      <w:proofErr w:type="spellEnd"/>
      <w:r>
        <w:t xml:space="preserve">, </w:t>
      </w:r>
      <w:proofErr w:type="spellStart"/>
      <w:r>
        <w:t>RncFunction</w:t>
      </w:r>
      <w:proofErr w:type="spellEnd"/>
      <w:r>
        <w:t xml:space="preserve">, </w:t>
      </w:r>
      <w:proofErr w:type="spellStart"/>
      <w:r>
        <w:t>SgsnFunction</w:t>
      </w:r>
      <w:proofErr w:type="spellEnd"/>
      <w:r>
        <w:t>). The object class used for this purpose shall be in accordance with NRMs defined in any NRM IRPs, such as those defined in 3GPP TS 32.622 [9], TS 32.632 [7</w:t>
      </w:r>
      <w:proofErr w:type="gramStart"/>
      <w:r>
        <w:t>] ,TS</w:t>
      </w:r>
      <w:proofErr w:type="gramEnd"/>
      <w:r>
        <w:t xml:space="preserve"> 32.642 [8] , TS 28.541 [24] and TS 28.543 [25].</w:t>
      </w:r>
    </w:p>
    <w:p w14:paraId="01CD182C" w14:textId="77777777" w:rsidR="00037999" w:rsidRDefault="00037999" w:rsidP="00037999">
      <w:pPr>
        <w:pStyle w:val="B1"/>
      </w:pPr>
      <w:r>
        <w:tab/>
        <w:t>For object classes currently not defined according to the above, the present document defines its own nomenclature (e.g. RA, LAC).</w:t>
      </w:r>
    </w:p>
    <w:p w14:paraId="3424F500" w14:textId="77777777" w:rsidR="00037999" w:rsidRDefault="00037999" w:rsidP="00037999">
      <w:pPr>
        <w:ind w:left="567"/>
        <w:rPr>
          <w:lang w:eastAsia="zh-CN"/>
        </w:rPr>
      </w:pPr>
      <w:r>
        <w:t xml:space="preserve">It is possible to use the same measurement name for a standardized measurement type implemented at a different object class level than the one defined in the Standard. The same measurement type can apply to one or more measurements for which all fields of the measurement template are the same except the clause f) "Measurement Object Class". For instance, a measurement which uses the same template as a given measurement type but relates to another </w:t>
      </w:r>
      <w:r>
        <w:rPr>
          <w:lang w:eastAsia="zh-CN"/>
        </w:rPr>
        <w:t>or different</w:t>
      </w:r>
      <w:r>
        <w:t xml:space="preserve"> object class</w:t>
      </w:r>
      <w:r>
        <w:rPr>
          <w:lang w:eastAsia="zh-CN"/>
        </w:rPr>
        <w:t>es</w:t>
      </w:r>
      <w:r>
        <w:t xml:space="preserve"> (e.g. </w:t>
      </w:r>
      <w:proofErr w:type="spellStart"/>
      <w:r>
        <w:t>UtranCell</w:t>
      </w:r>
      <w:proofErr w:type="spellEnd"/>
      <w:r>
        <w:t xml:space="preserve"> instead of </w:t>
      </w:r>
      <w:proofErr w:type="spellStart"/>
      <w:r>
        <w:t>UtranRelation</w:t>
      </w:r>
      <w:proofErr w:type="spellEnd"/>
      <w:r>
        <w:rPr>
          <w:lang w:eastAsia="zh-CN"/>
        </w:rPr>
        <w:t xml:space="preserve">, or </w:t>
      </w:r>
      <w:proofErr w:type="spellStart"/>
      <w:r>
        <w:t>RncFunction</w:t>
      </w:r>
      <w:proofErr w:type="spellEnd"/>
      <w:r>
        <w:rPr>
          <w:lang w:eastAsia="zh-CN"/>
        </w:rPr>
        <w:t xml:space="preserve"> and</w:t>
      </w:r>
      <w:r>
        <w:t xml:space="preserve"> </w:t>
      </w:r>
      <w:proofErr w:type="spellStart"/>
      <w:r>
        <w:t>U</w:t>
      </w:r>
      <w:r>
        <w:rPr>
          <w:lang w:eastAsia="zh-CN"/>
        </w:rPr>
        <w:t>tranC</w:t>
      </w:r>
      <w:r>
        <w:t>ell</w:t>
      </w:r>
      <w:proofErr w:type="spellEnd"/>
      <w:r>
        <w:t>) shall have the same name.</w:t>
      </w:r>
    </w:p>
    <w:p w14:paraId="08D7D081" w14:textId="77777777" w:rsidR="00037999" w:rsidRDefault="00037999" w:rsidP="00037999">
      <w:pPr>
        <w:pStyle w:val="B1"/>
        <w:ind w:left="567" w:hanging="283"/>
        <w:rPr>
          <w:b/>
          <w:lang w:eastAsia="en-GB"/>
        </w:rPr>
      </w:pPr>
      <w:r>
        <w:rPr>
          <w:b/>
        </w:rPr>
        <w:t>g)</w:t>
      </w:r>
      <w:r>
        <w:rPr>
          <w:b/>
        </w:rPr>
        <w:tab/>
        <w:t>Switching Technology</w:t>
      </w:r>
    </w:p>
    <w:p w14:paraId="5A66A4A0" w14:textId="77777777" w:rsidR="00037999" w:rsidRDefault="00037999" w:rsidP="00037999">
      <w:pPr>
        <w:pStyle w:val="B1"/>
      </w:pPr>
      <w:r>
        <w:tab/>
        <w:t>This subclause contains the Switching domain(s) this measurement is applicable to i.e. Circuit Switched and/or Packet Switched.</w:t>
      </w:r>
    </w:p>
    <w:p w14:paraId="2EC67E12" w14:textId="77777777" w:rsidR="00037999" w:rsidRDefault="00037999" w:rsidP="00037999">
      <w:pPr>
        <w:pStyle w:val="B1"/>
        <w:rPr>
          <w:b/>
        </w:rPr>
      </w:pPr>
      <w:r>
        <w:rPr>
          <w:b/>
        </w:rPr>
        <w:t>h)</w:t>
      </w:r>
      <w:r>
        <w:rPr>
          <w:b/>
        </w:rPr>
        <w:tab/>
        <w:t>Generation</w:t>
      </w:r>
    </w:p>
    <w:p w14:paraId="0FDF3A41" w14:textId="77777777" w:rsidR="00037999" w:rsidRDefault="00037999" w:rsidP="00037999">
      <w:pPr>
        <w:pStyle w:val="B1"/>
      </w:pPr>
      <w:r>
        <w:tab/>
        <w:t>The generation determines if it concerns a GSM, UMTS, EPS, 5GS, combined (GSM+UMTS+EPS+5GS)</w:t>
      </w:r>
      <w:r>
        <w:rPr>
          <w:lang w:eastAsia="zh-CN"/>
        </w:rPr>
        <w:t xml:space="preserve"> or IMS</w:t>
      </w:r>
      <w:r>
        <w:t xml:space="preserve"> measurement.</w:t>
      </w:r>
    </w:p>
    <w:p w14:paraId="01CA8E8F" w14:textId="77777777" w:rsidR="00037999" w:rsidRDefault="00037999" w:rsidP="00037999">
      <w:pPr>
        <w:pStyle w:val="B2"/>
      </w:pPr>
      <w:r>
        <w:t>-</w:t>
      </w:r>
      <w:r>
        <w:tab/>
      </w:r>
      <w:r>
        <w:rPr>
          <w:b/>
          <w:bCs/>
        </w:rPr>
        <w:t>GSM:</w:t>
      </w:r>
      <w:r>
        <w:t xml:space="preserve"> pure GSM measurement; it only counts GSM events. In a combined (GSM+UMTS+EPS) NE the count would be </w:t>
      </w:r>
      <w:proofErr w:type="gramStart"/>
      <w:r>
        <w:t>exactly the same</w:t>
      </w:r>
      <w:proofErr w:type="gramEnd"/>
      <w:r>
        <w:t xml:space="preserve"> as in a pure GSM NE. In a pure UMTS, pure EPS or combined UMTS and EPS NE this counter does not </w:t>
      </w:r>
      <w:proofErr w:type="gramStart"/>
      <w:r>
        <w:t>exist;</w:t>
      </w:r>
      <w:proofErr w:type="gramEnd"/>
    </w:p>
    <w:p w14:paraId="52CBA73D" w14:textId="77777777" w:rsidR="00037999" w:rsidRDefault="00037999" w:rsidP="00037999">
      <w:pPr>
        <w:pStyle w:val="B2"/>
        <w:rPr>
          <w:lang w:val="en-US"/>
        </w:rPr>
      </w:pPr>
      <w:r>
        <w:t>-</w:t>
      </w:r>
      <w:r>
        <w:tab/>
      </w:r>
      <w:r>
        <w:rPr>
          <w:b/>
        </w:rPr>
        <w:t>UMTS</w:t>
      </w:r>
      <w:r>
        <w:rPr>
          <w:b/>
          <w:bCs/>
        </w:rPr>
        <w:t>:</w:t>
      </w:r>
      <w:r>
        <w:t xml:space="preserve"> pure UMTS measurement; it only counts UMTS events. In a combined (GSM+UMTS+EPS) NE the count would be </w:t>
      </w:r>
      <w:proofErr w:type="gramStart"/>
      <w:r>
        <w:t>exactly the same</w:t>
      </w:r>
      <w:proofErr w:type="gramEnd"/>
      <w:r>
        <w:t xml:space="preserve"> as in a pure UMTS NE. In a pure GSM, pure EPS or combined GSM and EPS NE this counter does not </w:t>
      </w:r>
      <w:proofErr w:type="gramStart"/>
      <w:r>
        <w:t>exist;</w:t>
      </w:r>
      <w:proofErr w:type="gramEnd"/>
    </w:p>
    <w:p w14:paraId="69DBBE34" w14:textId="77777777" w:rsidR="00037999" w:rsidRDefault="00037999" w:rsidP="00037999">
      <w:pPr>
        <w:ind w:left="851"/>
      </w:pPr>
      <w:r>
        <w:t>-</w:t>
      </w:r>
      <w:r>
        <w:tab/>
      </w:r>
      <w:r>
        <w:rPr>
          <w:b/>
          <w:bCs/>
          <w:lang w:val="en-US"/>
        </w:rPr>
        <w:t>EPS</w:t>
      </w:r>
      <w:r>
        <w:rPr>
          <w:b/>
          <w:bCs/>
        </w:rPr>
        <w:t>:</w:t>
      </w:r>
      <w:r>
        <w:t xml:space="preserve"> pure EPS measurement; it only counts EPS events. In a combined (GSM+UMTS+EPS) NE the count would be </w:t>
      </w:r>
      <w:proofErr w:type="gramStart"/>
      <w:r>
        <w:t>exactly the same</w:t>
      </w:r>
      <w:proofErr w:type="gramEnd"/>
      <w:r>
        <w:t xml:space="preserve"> as in a pure EPS NE. In a pure GSM, pure UTMS or combined GSM and UTMS NE this counter does not </w:t>
      </w:r>
      <w:proofErr w:type="gramStart"/>
      <w:r>
        <w:t>exist;</w:t>
      </w:r>
      <w:proofErr w:type="gramEnd"/>
      <w:r>
        <w:t xml:space="preserve"> </w:t>
      </w:r>
    </w:p>
    <w:p w14:paraId="2E1CC914" w14:textId="77777777" w:rsidR="00037999" w:rsidRDefault="00037999" w:rsidP="00037999">
      <w:pPr>
        <w:pStyle w:val="B2"/>
      </w:pPr>
      <w:r>
        <w:t xml:space="preserve">- </w:t>
      </w:r>
      <w:r>
        <w:tab/>
        <w:t xml:space="preserve">5GS: pure 5GS measurement; it only counts 5GS events. In a combined (GSM+UMTS+EPS+5GS) NE the count would be </w:t>
      </w:r>
      <w:proofErr w:type="gramStart"/>
      <w:r>
        <w:t>exactly the same</w:t>
      </w:r>
      <w:proofErr w:type="gramEnd"/>
      <w:r>
        <w:t xml:space="preserve"> as in a pure 5GS NE. In a pure GSM, pure UTMS, pure EPS or combined GSM, UTMS and EPS NE this counter does not </w:t>
      </w:r>
      <w:proofErr w:type="gramStart"/>
      <w:r>
        <w:t>exist;</w:t>
      </w:r>
      <w:proofErr w:type="gramEnd"/>
    </w:p>
    <w:p w14:paraId="215AC53B" w14:textId="77777777" w:rsidR="00037999" w:rsidRDefault="00037999" w:rsidP="00037999">
      <w:pPr>
        <w:pStyle w:val="B2"/>
        <w:rPr>
          <w:lang w:eastAsia="zh-CN"/>
        </w:rPr>
      </w:pPr>
      <w:r>
        <w:t>-</w:t>
      </w:r>
      <w:r>
        <w:tab/>
      </w:r>
      <w:r>
        <w:rPr>
          <w:b/>
        </w:rPr>
        <w:t>GSM/UMTS</w:t>
      </w:r>
      <w:r>
        <w:rPr>
          <w:b/>
          <w:bCs/>
        </w:rPr>
        <w:t>:</w:t>
      </w:r>
      <w:r>
        <w:t xml:space="preserve"> measurement applicable to both GSM and UMTS systems; in a combined (GSM+UMTS) NE separate </w:t>
      </w:r>
      <w:proofErr w:type="spellStart"/>
      <w:r>
        <w:t>subcounts</w:t>
      </w:r>
      <w:proofErr w:type="spellEnd"/>
      <w:r>
        <w:t xml:space="preserve"> for GSM and/or UMTS events can be </w:t>
      </w:r>
      <w:proofErr w:type="gramStart"/>
      <w:r>
        <w:t>obtained;</w:t>
      </w:r>
      <w:proofErr w:type="gramEnd"/>
    </w:p>
    <w:p w14:paraId="324D2E6B" w14:textId="77777777" w:rsidR="00037999" w:rsidRDefault="00037999" w:rsidP="00037999">
      <w:pPr>
        <w:ind w:left="851"/>
        <w:rPr>
          <w:lang w:eastAsia="en-GB"/>
        </w:rPr>
      </w:pPr>
      <w:r>
        <w:t>-</w:t>
      </w:r>
      <w:r>
        <w:tab/>
      </w:r>
      <w:r>
        <w:rPr>
          <w:b/>
        </w:rPr>
        <w:t>GSM/UMTS/EPS</w:t>
      </w:r>
      <w:r>
        <w:rPr>
          <w:b/>
          <w:bCs/>
        </w:rPr>
        <w:t>:</w:t>
      </w:r>
      <w:r>
        <w:t xml:space="preserve"> measurement applicable to GSM, UMTS and EPS systems; in a combined (GSM+UMTS+EPS) NE separate </w:t>
      </w:r>
      <w:proofErr w:type="spellStart"/>
      <w:r>
        <w:t>subcounts</w:t>
      </w:r>
      <w:proofErr w:type="spellEnd"/>
      <w:r>
        <w:t xml:space="preserve"> for GSM, and/or UMTS, and/or EPS events can be </w:t>
      </w:r>
      <w:proofErr w:type="gramStart"/>
      <w:r>
        <w:t>obtained;</w:t>
      </w:r>
      <w:proofErr w:type="gramEnd"/>
      <w:r>
        <w:t xml:space="preserve"> </w:t>
      </w:r>
    </w:p>
    <w:p w14:paraId="55FA8B5F" w14:textId="77777777" w:rsidR="00037999" w:rsidRDefault="00037999" w:rsidP="00037999">
      <w:pPr>
        <w:pStyle w:val="B2"/>
        <w:rPr>
          <w:lang w:val="en-US" w:eastAsia="zh-CN"/>
        </w:rPr>
      </w:pPr>
      <w:r>
        <w:rPr>
          <w:lang w:val="en-US" w:eastAsia="zh-CN"/>
        </w:rPr>
        <w:t xml:space="preserve">- </w:t>
      </w:r>
      <w:r>
        <w:rPr>
          <w:lang w:val="en-US" w:eastAsia="zh-CN"/>
        </w:rPr>
        <w:tab/>
        <w:t xml:space="preserve">EPS/5GS: </w:t>
      </w:r>
      <w:r>
        <w:t xml:space="preserve">measurement applicable to EPS and 5GS systems; in a combined (EPS+5GS) NE separate </w:t>
      </w:r>
      <w:proofErr w:type="spellStart"/>
      <w:r>
        <w:t>subcounts</w:t>
      </w:r>
      <w:proofErr w:type="spellEnd"/>
      <w:r>
        <w:t xml:space="preserve"> for EPS, and/or 5GS events can be </w:t>
      </w:r>
      <w:proofErr w:type="gramStart"/>
      <w:r>
        <w:t>obtained;</w:t>
      </w:r>
      <w:proofErr w:type="gramEnd"/>
    </w:p>
    <w:p w14:paraId="07C1A6D0" w14:textId="77777777" w:rsidR="00037999" w:rsidRDefault="00037999" w:rsidP="00037999">
      <w:pPr>
        <w:pStyle w:val="B2"/>
        <w:rPr>
          <w:lang w:eastAsia="en-GB"/>
        </w:rPr>
      </w:pPr>
      <w:r>
        <w:lastRenderedPageBreak/>
        <w:t>-</w:t>
      </w:r>
      <w:r>
        <w:tab/>
      </w:r>
      <w:r>
        <w:rPr>
          <w:b/>
        </w:rPr>
        <w:t>Combined</w:t>
      </w:r>
      <w:r>
        <w:rPr>
          <w:b/>
          <w:bCs/>
        </w:rPr>
        <w:t>:</w:t>
      </w:r>
      <w:r>
        <w:t xml:space="preserve"> measurement applicable to combined GSM, UMTS, EPS and 5GS systems, but regardless of whether the measured event occurred on the GSM, UMTS, EPS or 5</w:t>
      </w:r>
      <w:proofErr w:type="gramStart"/>
      <w:r>
        <w:t>GS  part</w:t>
      </w:r>
      <w:proofErr w:type="gramEnd"/>
      <w:r>
        <w:t xml:space="preserve"> of the system. This means that in a combined NE only one total (i.e. GSM+UMTS+EPS+5GS) count is obtained for the measured event.</w:t>
      </w:r>
    </w:p>
    <w:p w14:paraId="2B29313C" w14:textId="77777777" w:rsidR="00037999" w:rsidRDefault="00037999" w:rsidP="00037999">
      <w:pPr>
        <w:pStyle w:val="B1"/>
      </w:pPr>
      <w:r>
        <w:tab/>
        <w:t>The above aspects are also reflected in the measurement type name in template item E by adding a "G" to the GSM measurements, "U" to the UMTS measurements, "E" to the EPS measurements, "5G" for 5GS measurements.</w:t>
      </w:r>
    </w:p>
    <w:p w14:paraId="6652A30F" w14:textId="77777777" w:rsidR="00037999" w:rsidRDefault="00037999" w:rsidP="00037999">
      <w:pPr>
        <w:pStyle w:val="B2"/>
        <w:rPr>
          <w:lang w:eastAsia="zh-CN"/>
        </w:rPr>
      </w:pPr>
      <w:r>
        <w:rPr>
          <w:lang w:eastAsia="zh-CN"/>
        </w:rPr>
        <w:t>-</w:t>
      </w:r>
      <w:r>
        <w:rPr>
          <w:lang w:eastAsia="zh-CN"/>
        </w:rPr>
        <w:tab/>
      </w:r>
      <w:r>
        <w:rPr>
          <w:b/>
        </w:rPr>
        <w:t>IMS</w:t>
      </w:r>
      <w:r>
        <w:t>: measurement applicable to IMS</w:t>
      </w:r>
      <w:r>
        <w:rPr>
          <w:lang w:eastAsia="zh-CN"/>
        </w:rPr>
        <w:t>.</w:t>
      </w:r>
    </w:p>
    <w:p w14:paraId="0B46759B" w14:textId="77777777" w:rsidR="00037999" w:rsidRDefault="00037999" w:rsidP="00037999">
      <w:pPr>
        <w:pStyle w:val="NO"/>
        <w:rPr>
          <w:lang w:eastAsia="en-GB"/>
        </w:rPr>
      </w:pPr>
      <w:r>
        <w:t>NOTE:</w:t>
      </w:r>
      <w:r>
        <w:tab/>
        <w:t xml:space="preserve">The </w:t>
      </w:r>
      <w:proofErr w:type="gramStart"/>
      <w:r>
        <w:t>GSM  component</w:t>
      </w:r>
      <w:proofErr w:type="gramEnd"/>
      <w:r>
        <w:t xml:space="preserve"> of combined GSM/UMTS  equipment may actually choose to implement GSM measurements according to the present document or TS 52.402 [2], based on GSM specifications.</w:t>
      </w:r>
    </w:p>
    <w:p w14:paraId="291A7827" w14:textId="77777777" w:rsidR="00037999" w:rsidRDefault="00037999" w:rsidP="00037999">
      <w:pPr>
        <w:pStyle w:val="B1"/>
        <w:rPr>
          <w:b/>
        </w:rPr>
      </w:pPr>
      <w:proofErr w:type="spellStart"/>
      <w:r>
        <w:rPr>
          <w:b/>
        </w:rPr>
        <w:t>i</w:t>
      </w:r>
      <w:proofErr w:type="spellEnd"/>
      <w:r>
        <w:rPr>
          <w:b/>
        </w:rPr>
        <w:t>)</w:t>
      </w:r>
      <w:r>
        <w:rPr>
          <w:b/>
        </w:rPr>
        <w:tab/>
        <w:t>Purpose</w:t>
      </w:r>
    </w:p>
    <w:p w14:paraId="77803686" w14:textId="77777777" w:rsidR="00037999" w:rsidRDefault="00037999" w:rsidP="00037999">
      <w:pPr>
        <w:pStyle w:val="B1"/>
        <w:ind w:firstLine="0"/>
      </w:pPr>
      <w:r>
        <w:t>This optional clause aims at describing who will be using the measurement. It is proposed to indicate in this clause the targeted categories of users based on the measurement user communities described in Annex B.</w:t>
      </w:r>
    </w:p>
    <w:p w14:paraId="0CB8A207" w14:textId="77777777" w:rsidR="00037999" w:rsidRDefault="00037999" w:rsidP="00037999">
      <w:pPr>
        <w:pStyle w:val="B1"/>
        <w:ind w:firstLine="0"/>
      </w:pPr>
      <w:r>
        <w:t>When available, this clause provides additional information on the interest of the measurement but is however purely indicative.</w:t>
      </w:r>
    </w:p>
    <w:p w14:paraId="5E9967BE" w14:textId="0219992D" w:rsidR="00E560E8" w:rsidRPr="0079795B" w:rsidRDefault="00E560E8" w:rsidP="00E560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w:t>
      </w:r>
      <w:r>
        <w:rPr>
          <w:rFonts w:ascii="Arial" w:hAnsi="Arial" w:cs="Arial"/>
          <w:smallCaps/>
          <w:color w:val="548DD4" w:themeColor="text2" w:themeTint="99"/>
          <w:sz w:val="28"/>
          <w:szCs w:val="32"/>
        </w:rPr>
        <w:t>S</w:t>
      </w:r>
      <w:r w:rsidRPr="0079795B">
        <w:rPr>
          <w:rFonts w:ascii="Arial" w:hAnsi="Arial" w:cs="Arial"/>
          <w:smallCaps/>
          <w:color w:val="548DD4" w:themeColor="text2" w:themeTint="99"/>
          <w:sz w:val="28"/>
          <w:szCs w:val="32"/>
        </w:rPr>
        <w:t>***</w:t>
      </w:r>
    </w:p>
    <w:p w14:paraId="12D881E8" w14:textId="77777777" w:rsidR="00A30704" w:rsidRDefault="00A30704"/>
    <w:sectPr w:rsidR="00A30704">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31D18" w14:textId="77777777" w:rsidR="00E6577F" w:rsidRDefault="00E6577F">
      <w:pPr>
        <w:spacing w:after="0"/>
      </w:pPr>
      <w:r>
        <w:separator/>
      </w:r>
    </w:p>
  </w:endnote>
  <w:endnote w:type="continuationSeparator" w:id="0">
    <w:p w14:paraId="6D0223E7" w14:textId="77777777" w:rsidR="00E6577F" w:rsidRDefault="00E657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1FF70" w14:textId="77777777" w:rsidR="00E6577F" w:rsidRDefault="00E6577F">
      <w:pPr>
        <w:spacing w:after="0"/>
      </w:pPr>
      <w:r>
        <w:separator/>
      </w:r>
    </w:p>
  </w:footnote>
  <w:footnote w:type="continuationSeparator" w:id="0">
    <w:p w14:paraId="3174C6C5" w14:textId="77777777" w:rsidR="00E6577F" w:rsidRDefault="00E657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Times New Roman"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Times New Roman"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Times New Roman"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start w:val="1"/>
      <w:numFmt w:val="bullet"/>
      <w:lvlText w:val="o"/>
      <w:lvlJc w:val="left"/>
      <w:pPr>
        <w:tabs>
          <w:tab w:val="num" w:pos="2580"/>
        </w:tabs>
        <w:ind w:left="2580" w:hanging="360"/>
      </w:pPr>
      <w:rPr>
        <w:rFonts w:ascii="Courier New" w:hAnsi="Courier New" w:cs="Courier New" w:hint="default"/>
      </w:rPr>
    </w:lvl>
    <w:lvl w:ilvl="2" w:tplc="04090005">
      <w:start w:val="1"/>
      <w:numFmt w:val="bullet"/>
      <w:lvlText w:val=""/>
      <w:lvlJc w:val="left"/>
      <w:pPr>
        <w:tabs>
          <w:tab w:val="num" w:pos="3300"/>
        </w:tabs>
        <w:ind w:left="3300" w:hanging="360"/>
      </w:pPr>
      <w:rPr>
        <w:rFonts w:ascii="Wingdings" w:hAnsi="Wingdings" w:hint="default"/>
      </w:rPr>
    </w:lvl>
    <w:lvl w:ilvl="3" w:tplc="04090001">
      <w:start w:val="1"/>
      <w:numFmt w:val="bullet"/>
      <w:lvlText w:val=""/>
      <w:lvlJc w:val="left"/>
      <w:pPr>
        <w:tabs>
          <w:tab w:val="num" w:pos="4020"/>
        </w:tabs>
        <w:ind w:left="4020" w:hanging="360"/>
      </w:pPr>
      <w:rPr>
        <w:rFonts w:ascii="Symbol" w:hAnsi="Symbol" w:hint="default"/>
      </w:rPr>
    </w:lvl>
    <w:lvl w:ilvl="4" w:tplc="04090003">
      <w:start w:val="1"/>
      <w:numFmt w:val="bullet"/>
      <w:lvlText w:val="o"/>
      <w:lvlJc w:val="left"/>
      <w:pPr>
        <w:tabs>
          <w:tab w:val="num" w:pos="4740"/>
        </w:tabs>
        <w:ind w:left="4740" w:hanging="360"/>
      </w:pPr>
      <w:rPr>
        <w:rFonts w:ascii="Courier New" w:hAnsi="Courier New" w:cs="Courier New" w:hint="default"/>
      </w:rPr>
    </w:lvl>
    <w:lvl w:ilvl="5" w:tplc="04090005">
      <w:start w:val="1"/>
      <w:numFmt w:val="bullet"/>
      <w:lvlText w:val=""/>
      <w:lvlJc w:val="left"/>
      <w:pPr>
        <w:tabs>
          <w:tab w:val="num" w:pos="5460"/>
        </w:tabs>
        <w:ind w:left="5460" w:hanging="360"/>
      </w:pPr>
      <w:rPr>
        <w:rFonts w:ascii="Wingdings" w:hAnsi="Wingdings" w:hint="default"/>
      </w:rPr>
    </w:lvl>
    <w:lvl w:ilvl="6" w:tplc="04090001">
      <w:start w:val="1"/>
      <w:numFmt w:val="bullet"/>
      <w:lvlText w:val=""/>
      <w:lvlJc w:val="left"/>
      <w:pPr>
        <w:tabs>
          <w:tab w:val="num" w:pos="6180"/>
        </w:tabs>
        <w:ind w:left="6180" w:hanging="360"/>
      </w:pPr>
      <w:rPr>
        <w:rFonts w:ascii="Symbol" w:hAnsi="Symbol" w:hint="default"/>
      </w:rPr>
    </w:lvl>
    <w:lvl w:ilvl="7" w:tplc="04090003">
      <w:start w:val="1"/>
      <w:numFmt w:val="bullet"/>
      <w:lvlText w:val="o"/>
      <w:lvlJc w:val="left"/>
      <w:pPr>
        <w:tabs>
          <w:tab w:val="num" w:pos="6900"/>
        </w:tabs>
        <w:ind w:left="6900" w:hanging="360"/>
      </w:pPr>
      <w:rPr>
        <w:rFonts w:ascii="Courier New" w:hAnsi="Courier New" w:cs="Courier New" w:hint="default"/>
      </w:rPr>
    </w:lvl>
    <w:lvl w:ilvl="8" w:tplc="04090005">
      <w:start w:val="1"/>
      <w:numFmt w:val="bullet"/>
      <w:lvlText w:val=""/>
      <w:lvlJc w:val="left"/>
      <w:pPr>
        <w:tabs>
          <w:tab w:val="num" w:pos="7620"/>
        </w:tabs>
        <w:ind w:left="762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3"/>
  </w:num>
  <w:num w:numId="5" w16cid:durableId="1660039022">
    <w:abstractNumId w:val="5"/>
  </w:num>
  <w:num w:numId="6" w16cid:durableId="61776210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41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28BD"/>
    <w:rsid w:val="00022E4A"/>
    <w:rsid w:val="0003001E"/>
    <w:rsid w:val="000320D5"/>
    <w:rsid w:val="00037999"/>
    <w:rsid w:val="000A6394"/>
    <w:rsid w:val="000B7FED"/>
    <w:rsid w:val="000C038A"/>
    <w:rsid w:val="000C6598"/>
    <w:rsid w:val="000D44B3"/>
    <w:rsid w:val="000E014D"/>
    <w:rsid w:val="000E2A0B"/>
    <w:rsid w:val="000E79E9"/>
    <w:rsid w:val="00145D43"/>
    <w:rsid w:val="00192C46"/>
    <w:rsid w:val="0019734E"/>
    <w:rsid w:val="001A08B3"/>
    <w:rsid w:val="001A49D6"/>
    <w:rsid w:val="001A7B60"/>
    <w:rsid w:val="001B52F0"/>
    <w:rsid w:val="001B7A65"/>
    <w:rsid w:val="001E293E"/>
    <w:rsid w:val="001E41F3"/>
    <w:rsid w:val="001F166D"/>
    <w:rsid w:val="001F679D"/>
    <w:rsid w:val="002421C1"/>
    <w:rsid w:val="0026004D"/>
    <w:rsid w:val="002611F5"/>
    <w:rsid w:val="002629C4"/>
    <w:rsid w:val="002640DD"/>
    <w:rsid w:val="00267729"/>
    <w:rsid w:val="00267CD3"/>
    <w:rsid w:val="00275D12"/>
    <w:rsid w:val="00284FEB"/>
    <w:rsid w:val="002860C4"/>
    <w:rsid w:val="002B0EF4"/>
    <w:rsid w:val="002B13E7"/>
    <w:rsid w:val="002B5741"/>
    <w:rsid w:val="002C7789"/>
    <w:rsid w:val="002E472E"/>
    <w:rsid w:val="002F1C0F"/>
    <w:rsid w:val="002F5BEA"/>
    <w:rsid w:val="00305409"/>
    <w:rsid w:val="0031366C"/>
    <w:rsid w:val="00326602"/>
    <w:rsid w:val="0034108E"/>
    <w:rsid w:val="0035508C"/>
    <w:rsid w:val="003609EF"/>
    <w:rsid w:val="0036231A"/>
    <w:rsid w:val="00374DD4"/>
    <w:rsid w:val="003860D6"/>
    <w:rsid w:val="003A49CB"/>
    <w:rsid w:val="003B59F9"/>
    <w:rsid w:val="003E1A36"/>
    <w:rsid w:val="003F38D8"/>
    <w:rsid w:val="004054BE"/>
    <w:rsid w:val="00410371"/>
    <w:rsid w:val="004242F1"/>
    <w:rsid w:val="004367C2"/>
    <w:rsid w:val="00445829"/>
    <w:rsid w:val="004509A0"/>
    <w:rsid w:val="00471F3D"/>
    <w:rsid w:val="004805AC"/>
    <w:rsid w:val="004A52C6"/>
    <w:rsid w:val="004B75B7"/>
    <w:rsid w:val="004D1D31"/>
    <w:rsid w:val="004D2C4C"/>
    <w:rsid w:val="004E6038"/>
    <w:rsid w:val="004F2CBA"/>
    <w:rsid w:val="005009D9"/>
    <w:rsid w:val="0051580D"/>
    <w:rsid w:val="00547111"/>
    <w:rsid w:val="00552668"/>
    <w:rsid w:val="0056060A"/>
    <w:rsid w:val="005658F2"/>
    <w:rsid w:val="00567051"/>
    <w:rsid w:val="00592D74"/>
    <w:rsid w:val="005C2C04"/>
    <w:rsid w:val="005D09E7"/>
    <w:rsid w:val="005D6EAF"/>
    <w:rsid w:val="005E2C44"/>
    <w:rsid w:val="00621188"/>
    <w:rsid w:val="006257ED"/>
    <w:rsid w:val="00636559"/>
    <w:rsid w:val="0065536E"/>
    <w:rsid w:val="00665C47"/>
    <w:rsid w:val="006755AA"/>
    <w:rsid w:val="00675B57"/>
    <w:rsid w:val="0068622F"/>
    <w:rsid w:val="00695808"/>
    <w:rsid w:val="006A325B"/>
    <w:rsid w:val="006B46FB"/>
    <w:rsid w:val="006E21FB"/>
    <w:rsid w:val="007122A8"/>
    <w:rsid w:val="00785599"/>
    <w:rsid w:val="00792342"/>
    <w:rsid w:val="007977A8"/>
    <w:rsid w:val="007B512A"/>
    <w:rsid w:val="007C2097"/>
    <w:rsid w:val="007D6A07"/>
    <w:rsid w:val="007F7259"/>
    <w:rsid w:val="008040A8"/>
    <w:rsid w:val="008158BD"/>
    <w:rsid w:val="008279FA"/>
    <w:rsid w:val="008626E7"/>
    <w:rsid w:val="00870EE7"/>
    <w:rsid w:val="00874412"/>
    <w:rsid w:val="00880A55"/>
    <w:rsid w:val="008863B9"/>
    <w:rsid w:val="008A45A6"/>
    <w:rsid w:val="008B7764"/>
    <w:rsid w:val="008D39FE"/>
    <w:rsid w:val="008D48E2"/>
    <w:rsid w:val="008F3789"/>
    <w:rsid w:val="008F686C"/>
    <w:rsid w:val="009148DE"/>
    <w:rsid w:val="00941E30"/>
    <w:rsid w:val="0094394A"/>
    <w:rsid w:val="00957CBB"/>
    <w:rsid w:val="009777D9"/>
    <w:rsid w:val="00990B04"/>
    <w:rsid w:val="00991B88"/>
    <w:rsid w:val="009A5753"/>
    <w:rsid w:val="009A579D"/>
    <w:rsid w:val="009B23F0"/>
    <w:rsid w:val="009E3297"/>
    <w:rsid w:val="009E5B12"/>
    <w:rsid w:val="009F734F"/>
    <w:rsid w:val="00A1069F"/>
    <w:rsid w:val="00A1202D"/>
    <w:rsid w:val="00A246B6"/>
    <w:rsid w:val="00A30704"/>
    <w:rsid w:val="00A4259F"/>
    <w:rsid w:val="00A47E70"/>
    <w:rsid w:val="00A50CF0"/>
    <w:rsid w:val="00A641A3"/>
    <w:rsid w:val="00A678CD"/>
    <w:rsid w:val="00A7064E"/>
    <w:rsid w:val="00A7671C"/>
    <w:rsid w:val="00AA2CBC"/>
    <w:rsid w:val="00AC5820"/>
    <w:rsid w:val="00AD1CD8"/>
    <w:rsid w:val="00AE114A"/>
    <w:rsid w:val="00AE5DD8"/>
    <w:rsid w:val="00AE6161"/>
    <w:rsid w:val="00AF3265"/>
    <w:rsid w:val="00B13F88"/>
    <w:rsid w:val="00B23491"/>
    <w:rsid w:val="00B258BB"/>
    <w:rsid w:val="00B25CDC"/>
    <w:rsid w:val="00B67B97"/>
    <w:rsid w:val="00B722D8"/>
    <w:rsid w:val="00B96855"/>
    <w:rsid w:val="00B968C8"/>
    <w:rsid w:val="00BA3EC5"/>
    <w:rsid w:val="00BA51D9"/>
    <w:rsid w:val="00BB11FB"/>
    <w:rsid w:val="00BB2E5B"/>
    <w:rsid w:val="00BB5DFC"/>
    <w:rsid w:val="00BC032E"/>
    <w:rsid w:val="00BD279D"/>
    <w:rsid w:val="00BD6BB8"/>
    <w:rsid w:val="00BF27A2"/>
    <w:rsid w:val="00C12D8A"/>
    <w:rsid w:val="00C61A91"/>
    <w:rsid w:val="00C66BA2"/>
    <w:rsid w:val="00C80F8F"/>
    <w:rsid w:val="00C95985"/>
    <w:rsid w:val="00CA3271"/>
    <w:rsid w:val="00CC5026"/>
    <w:rsid w:val="00CC68D0"/>
    <w:rsid w:val="00CF34B5"/>
    <w:rsid w:val="00CF5BDC"/>
    <w:rsid w:val="00CF5C18"/>
    <w:rsid w:val="00D03F9A"/>
    <w:rsid w:val="00D06D51"/>
    <w:rsid w:val="00D12231"/>
    <w:rsid w:val="00D24991"/>
    <w:rsid w:val="00D50255"/>
    <w:rsid w:val="00D6396C"/>
    <w:rsid w:val="00D66520"/>
    <w:rsid w:val="00DE34CF"/>
    <w:rsid w:val="00E054E2"/>
    <w:rsid w:val="00E13F3D"/>
    <w:rsid w:val="00E34898"/>
    <w:rsid w:val="00E560E8"/>
    <w:rsid w:val="00E6166D"/>
    <w:rsid w:val="00E6577F"/>
    <w:rsid w:val="00E70D43"/>
    <w:rsid w:val="00EA51A7"/>
    <w:rsid w:val="00EB09B7"/>
    <w:rsid w:val="00EB6727"/>
    <w:rsid w:val="00EC7700"/>
    <w:rsid w:val="00EE2D4A"/>
    <w:rsid w:val="00EE7D7C"/>
    <w:rsid w:val="00F01566"/>
    <w:rsid w:val="00F25D98"/>
    <w:rsid w:val="00F300FB"/>
    <w:rsid w:val="00F53069"/>
    <w:rsid w:val="00F62010"/>
    <w:rsid w:val="00F65B8B"/>
    <w:rsid w:val="00F77B35"/>
    <w:rsid w:val="00FB6386"/>
    <w:rsid w:val="00FC7AA6"/>
    <w:rsid w:val="00FE16F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Heading4Char">
    <w:name w:val="Heading 4 Char"/>
    <w:basedOn w:val="DefaultParagraphFont"/>
    <w:link w:val="Heading4"/>
    <w:rsid w:val="00EC7700"/>
    <w:rPr>
      <w:rFonts w:ascii="Arial" w:eastAsia="Times New Roman" w:hAnsi="Arial"/>
      <w:sz w:val="24"/>
      <w:lang w:val="en-GB" w:eastAsia="en-US"/>
    </w:rPr>
  </w:style>
  <w:style w:type="character" w:customStyle="1" w:styleId="B1Char">
    <w:name w:val="B1 Char"/>
    <w:link w:val="B1"/>
    <w:locked/>
    <w:rsid w:val="00037999"/>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935217">
      <w:bodyDiv w:val="1"/>
      <w:marLeft w:val="0"/>
      <w:marRight w:val="0"/>
      <w:marTop w:val="0"/>
      <w:marBottom w:val="0"/>
      <w:divBdr>
        <w:top w:val="none" w:sz="0" w:space="0" w:color="auto"/>
        <w:left w:val="none" w:sz="0" w:space="0" w:color="auto"/>
        <w:bottom w:val="none" w:sz="0" w:space="0" w:color="auto"/>
        <w:right w:val="none" w:sz="0" w:space="0" w:color="auto"/>
      </w:divBdr>
    </w:div>
    <w:div w:id="1644890245">
      <w:bodyDiv w:val="1"/>
      <w:marLeft w:val="0"/>
      <w:marRight w:val="0"/>
      <w:marTop w:val="0"/>
      <w:marBottom w:val="0"/>
      <w:divBdr>
        <w:top w:val="none" w:sz="0" w:space="0" w:color="auto"/>
        <w:left w:val="none" w:sz="0" w:space="0" w:color="auto"/>
        <w:bottom w:val="none" w:sz="0" w:space="0" w:color="auto"/>
        <w:right w:val="none" w:sz="0" w:space="0" w:color="auto"/>
      </w:divBdr>
    </w:div>
    <w:div w:id="17314158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5</Pages>
  <Words>1940</Words>
  <Characters>10927</Characters>
  <Application>Microsoft Office Word</Application>
  <DocSecurity>0</DocSecurity>
  <Lines>91</Lines>
  <Paragraphs>25</Paragraphs>
  <ScaleCrop>false</ScaleCrop>
  <Company>3GPP Support Team</Company>
  <LinksUpToDate>false</LinksUpToDate>
  <CharactersWithSpaces>12842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60</cp:revision>
  <cp:lastPrinted>2411-12-31T15:59:00Z</cp:lastPrinted>
  <dcterms:created xsi:type="dcterms:W3CDTF">2024-07-08T17:42:00Z</dcterms:created>
  <dcterms:modified xsi:type="dcterms:W3CDTF">2024-08-05T13:58:00Z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ies>
</file>